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600"/>
        <w:jc w:val="center"/>
      </w:pPr>
      <w:r>
        <w:rPr>
          <w:rFonts w:ascii="Cambria" w:cs="Cambria" w:eastAsia="Cambria" w:hAnsi="Cambria"/>
          <w:b/>
          <w:bCs/>
          <w:color w:val="0E2A47"/>
          <w:sz w:val="64"/>
          <w:szCs w:val="64"/>
        </w:rPr>
        <w:t xml:space="preserve">THE DAILY ALASKA, LLC</w:t>
      </w:r>
    </w:p>
    <w:p>
      <w:pPr>
        <w:spacing w:after="120"/>
        <w:jc w:val="center"/>
      </w:pPr>
      <w:r>
        <w:rPr>
          <w:rFonts w:ascii="Cambria" w:cs="Cambria" w:eastAsia="Cambria" w:hAnsi="Cambria"/>
          <w:i/>
          <w:iCs/>
          <w:color w:val="1E8A7E"/>
          <w:sz w:val="30"/>
          <w:szCs w:val="30"/>
        </w:rPr>
        <w:t xml:space="preserve">Alaska, told straight.</w:t>
      </w:r>
    </w:p>
    <w:p>
      <w:pPr>
        <w:spacing w:after="2000"/>
        <w:jc w:val="center"/>
      </w:pPr>
      <w:r>
        <w:rPr>
          <w:rFonts w:ascii="Calibri" w:cs="Calibri" w:eastAsia="Calibri" w:hAnsi="Calibri"/>
          <w:b/>
          <w:bCs/>
          <w:color w:val="5A6672"/>
          <w:sz w:val="26"/>
          <w:szCs w:val="26"/>
        </w:rPr>
        <w:t xml:space="preserve">2026 BUSINESS PLAN</w:t>
      </w:r>
    </w:p>
    <w:p>
      <w:pPr>
        <w:spacing w:after="80"/>
        <w:jc w:val="center"/>
      </w:pPr>
      <w:r>
        <w:rPr>
          <w:rFonts w:ascii="Calibri" w:cs="Calibri" w:eastAsia="Calibri" w:hAnsi="Calibri"/>
          <w:color w:val="5A6672"/>
          <w:sz w:val="20"/>
          <w:szCs w:val="20"/>
        </w:rPr>
        <w:t xml:space="preserve">Prepared August 2026 · Draft for discussion</w:t>
      </w:r>
    </w:p>
    <w:p>
      <w:pPr>
        <w:jc w:val="center"/>
      </w:pPr>
      <w:r>
        <w:rPr>
          <w:rFonts w:ascii="Calibri" w:cs="Calibri" w:eastAsia="Calibri" w:hAnsi="Calibri"/>
          <w:color w:val="5A6672"/>
          <w:sz w:val="20"/>
          <w:szCs w:val="20"/>
        </w:rPr>
        <w:t xml:space="preserve">Slavik Lund, Founder &amp; Publisher  ·  David Chapa, General Manager</w:t>
      </w:r>
    </w:p>
    <w:p>
      <w:r>
        <w:br w:type="page"/>
      </w:r>
    </w:p>
    <w:p>
      <w:pPr>
        <w:spacing w:after="200" w:before="400"/>
        <w:jc w:val="center"/>
      </w:pPr>
      <w:r>
        <w:rPr>
          <w:rFonts w:ascii="Cambria" w:cs="Cambria" w:eastAsia="Cambria" w:hAnsi="Cambria"/>
          <w:b/>
          <w:bCs/>
          <w:color w:val="0E2A47"/>
          <w:sz w:val="36"/>
          <w:szCs w:val="36"/>
        </w:rPr>
        <w:t xml:space="preserve">Confidentiality Notice</w:t>
      </w:r>
    </w:p>
    <w:p>
      <w:pPr>
        <w:spacing w:after="140" w:line="276"/>
      </w:pPr>
      <w:r>
        <w:rPr>
          <w:rFonts w:ascii="Calibri" w:cs="Calibri" w:eastAsia="Calibri" w:hAnsi="Calibri"/>
          <w:color w:val="16181D"/>
          <w:sz w:val="22"/>
          <w:szCs w:val="22"/>
        </w:rPr>
        <w:t xml:space="preserve">The information contained in this business plan is confidential and proprietary to The Daily Alaska, LLC (in formation). It is being submitted to select persons for informational purposes only. By accepting this business plan, the recipient agrees to maintain this information in confidence and not to reproduce or otherwise disclose this information to any person outside the group directly responsible for the evaluation of its contents.</w:t>
      </w:r>
    </w:p>
    <w:p>
      <w:pPr>
        <w:spacing w:after="140" w:line="276"/>
      </w:pPr>
      <w:r>
        <w:rPr>
          <w:rFonts w:ascii="Calibri" w:cs="Calibri" w:eastAsia="Calibri" w:hAnsi="Calibri"/>
          <w:color w:val="16181D"/>
          <w:sz w:val="22"/>
          <w:szCs w:val="22"/>
        </w:rPr>
        <w:t xml:space="preserve">There is no obligation to maintain the confidentiality of any information that: was known to the recipient prior to receipt of the information from The Daily Alaska; becomes publicly known through no fault of the recipient; or is received without obligation of confidentiality from a third party owing no obligation of confidentiality to The Daily Alaska.</w:t>
      </w:r>
    </w:p>
    <w:p>
      <w:pPr>
        <w:spacing w:after="140" w:line="276"/>
      </w:pPr>
      <w:r>
        <w:rPr>
          <w:rFonts w:ascii="Calibri" w:cs="Calibri" w:eastAsia="Calibri" w:hAnsi="Calibri"/>
          <w:color w:val="16181D"/>
          <w:sz w:val="22"/>
          <w:szCs w:val="22"/>
        </w:rPr>
        <w:t xml:space="preserve">This business plan does not constitute an offer to sell, or a solicitation of an offer to purchase, securities or membership interests of The Daily Alaska, LLC. It is furnished solely for the purpose of evaluating a potential business relationship between the parties named on the cover.</w:t>
      </w:r>
    </w:p>
    <w:p>
      <w:r>
        <w:br w:type="page"/>
      </w:r>
    </w:p>
    <w:p>
      <w:pPr>
        <w:pStyle w:val="Heading1"/>
        <w:spacing w:after="160" w:before="400"/>
      </w:pPr>
      <w:r>
        <w:rPr>
          <w:rFonts w:ascii="Cambria" w:cs="Cambria" w:eastAsia="Cambria" w:hAnsi="Cambria"/>
          <w:b/>
          <w:bCs/>
          <w:color w:val="0E2A47"/>
          <w:sz w:val="32"/>
          <w:szCs w:val="32"/>
        </w:rPr>
        <w:t xml:space="preserve">Contents</w:t>
      </w:r>
    </w:p>
    <w:sdt>
      <w:sdtPr>
        <w:alias w:val="Contents"/>
      </w:sdtPr>
      <w:sdtContent>
        <w:p>
          <w:r>
            <w:fldChar w:fldCharType="begin" w:dirty="true"/>
            <w:instrText xml:space="preserve">TOC \h \o "1-1"</w:instrText>
            <w:fldChar w:fldCharType="separate"/>
          </w:r>
        </w:p>
        <w:p>
          <w:r>
            <w:fldChar w:fldCharType="end"/>
          </w:r>
        </w:p>
      </w:sdtContent>
    </w:sdt>
    <w:p>
      <w:r>
        <w:br w:type="page"/>
      </w:r>
    </w:p>
    <w:p>
      <w:pPr>
        <w:pStyle w:val="Heading1"/>
        <w:spacing w:after="160" w:before="400"/>
      </w:pPr>
      <w:r>
        <w:rPr>
          <w:rFonts w:ascii="Cambria" w:cs="Cambria" w:eastAsia="Cambria" w:hAnsi="Cambria"/>
          <w:b/>
          <w:bCs/>
          <w:color w:val="0E2A47"/>
          <w:sz w:val="32"/>
          <w:szCs w:val="32"/>
        </w:rPr>
        <w:t xml:space="preserve">Executive Summary</w:t>
      </w:r>
    </w:p>
    <w:p>
      <w:pPr>
        <w:spacing w:after="140" w:line="276"/>
      </w:pPr>
      <w:r>
        <w:rPr>
          <w:rFonts w:ascii="Calibri" w:cs="Calibri" w:eastAsia="Calibri" w:hAnsi="Calibri"/>
          <w:color w:val="16181D"/>
          <w:sz w:val="22"/>
          <w:szCs w:val="22"/>
        </w:rPr>
        <w:t xml:space="preserve">The Daily Alaska formalizes a proven media brand into a revenue-generating news business. In its first fourteen months, its TikTok and Facebook operation built something Alaska's legacy outlets have failed to build: a native short-video audience that reliably consumes neutral, service-minded news about the state — roughly 24,000 followers across platforms, 955 published videos, and 8.9 million lifetime views (5.5 million on Facebook, 3.4 million on TikTok), with monthly Facebook viewership running between 571,000 and 2.1 million over the past five months (platform data collected August 25, 2026). What the brand lacks is infrastructure — a real website that can hold that audience, sell against it, and compound it. This plan supplies that infrastructure on a genuine shoestring: cash start-up costs of approximately </w:t>
      </w:r>
      <w:r>
        <w:rPr>
          <w:rFonts w:ascii="Calibri" w:cs="Calibri" w:eastAsia="Calibri" w:hAnsi="Calibri"/>
          <w:b/>
          <w:bCs/>
          <w:color w:val="16181D"/>
          <w:sz w:val="22"/>
          <w:szCs w:val="22"/>
        </w:rPr>
        <w:t xml:space="preserve">$1,360</w:t>
      </w:r>
      <w:r>
        <w:rPr>
          <w:rFonts w:ascii="Calibri" w:cs="Calibri" w:eastAsia="Calibri" w:hAnsi="Calibri"/>
          <w:color w:val="16181D"/>
          <w:sz w:val="22"/>
          <w:szCs w:val="22"/>
        </w:rPr>
        <w:t xml:space="preserve">, fixed operating costs of approximately </w:t>
      </w:r>
      <w:r>
        <w:rPr>
          <w:rFonts w:ascii="Calibri" w:cs="Calibri" w:eastAsia="Calibri" w:hAnsi="Calibri"/>
          <w:b/>
          <w:bCs/>
          <w:color w:val="16181D"/>
          <w:sz w:val="22"/>
          <w:szCs w:val="22"/>
        </w:rPr>
        <w:t xml:space="preserve">$460 per month</w:t>
      </w:r>
      <w:r>
        <w:rPr>
          <w:rFonts w:ascii="Calibri" w:cs="Calibri" w:eastAsia="Calibri" w:hAnsi="Calibri"/>
          <w:color w:val="16181D"/>
          <w:sz w:val="22"/>
          <w:szCs w:val="22"/>
        </w:rPr>
        <w:t xml:space="preserve">, no salaried staff, and no outside capital.</w:t>
      </w:r>
    </w:p>
    <w:p>
      <w:pPr>
        <w:spacing w:after="140" w:line="276"/>
      </w:pPr>
      <w:r>
        <w:rPr>
          <w:rFonts w:ascii="Calibri" w:cs="Calibri" w:eastAsia="Calibri" w:hAnsi="Calibri"/>
          <w:color w:val="16181D"/>
          <w:sz w:val="22"/>
          <w:szCs w:val="22"/>
        </w:rPr>
        <w:t xml:space="preserve">The editorial position is the market gap. Alaska's independent news landscape splits into a donor-funded nonprofit that takes no advertising (Alaska Beacon), an openly partisan operation that half the market tunes out (Must Read Alaska), and an irreverent insider site whose tone limits advertiser comfort (Alaska Landmine). No Alaska outlet combines political independence, neutral framing, a commercial model, and dedicated coverage of </w:t>
      </w:r>
      <w:r>
        <w:rPr>
          <w:rFonts w:ascii="Calibri" w:cs="Calibri" w:eastAsia="Calibri" w:hAnsi="Calibri"/>
          <w:b/>
          <w:bCs/>
          <w:color w:val="16181D"/>
          <w:sz w:val="22"/>
          <w:szCs w:val="22"/>
        </w:rPr>
        <w:t xml:space="preserve">housing and energy</w:t>
      </w:r>
      <w:r>
        <w:rPr>
          <w:rFonts w:ascii="Calibri" w:cs="Calibri" w:eastAsia="Calibri" w:hAnsi="Calibri"/>
          <w:color w:val="16181D"/>
          <w:sz w:val="22"/>
          <w:szCs w:val="22"/>
        </w:rPr>
        <w:t xml:space="preserve"> — the two issues currently dominating Alaskan life, from the Cook Inlet natural gas deliverability crisis and its ~30% consumer price increases to a statewide housing shortage that keeps rents and construction policy in the news continuously. The Daily Alaska launches holding all four positions at once.</w:t>
      </w:r>
    </w:p>
    <w:p>
      <w:pPr>
        <w:spacing w:after="140" w:line="276"/>
      </w:pPr>
      <w:r>
        <w:rPr>
          <w:rFonts w:ascii="Calibri" w:cs="Calibri" w:eastAsia="Calibri" w:hAnsi="Calibri"/>
          <w:color w:val="16181D"/>
          <w:sz w:val="22"/>
          <w:szCs w:val="22"/>
        </w:rPr>
        <w:t xml:space="preserve">Timing drives the schedule. The November 3, 2026 general election follows a primary season in which the governor's race alone drew 17 candidates, roughly $9 million raised, and more than $10 million spent. Political advertisers make placement decisions in days during September and October, and they pay flat-rate premiums for sites Alaskan voters actually read. The site is therefore a </w:t>
      </w:r>
      <w:r>
        <w:rPr>
          <w:rFonts w:ascii="Calibri" w:cs="Calibri" w:eastAsia="Calibri" w:hAnsi="Calibri"/>
          <w:b/>
          <w:bCs/>
          <w:color w:val="16181D"/>
          <w:sz w:val="22"/>
          <w:szCs w:val="22"/>
        </w:rPr>
        <w:t xml:space="preserve">two-week build in Lovable targeting launch on approximately September 8</w:t>
      </w:r>
      <w:r>
        <w:rPr>
          <w:rFonts w:ascii="Calibri" w:cs="Calibri" w:eastAsia="Calibri" w:hAnsi="Calibri"/>
          <w:color w:val="16181D"/>
          <w:sz w:val="22"/>
          <w:szCs w:val="22"/>
        </w:rPr>
        <w:t xml:space="preserve"> — eight sellable weeks before the election — with company formation running in parallel on days 0–2 using the same-day online filing and $50-per-month registered-agent-plus-business-mail playbook already proven with Chapa Lyons Professional Services.</w:t>
      </w:r>
    </w:p>
    <w:p>
      <w:pPr>
        <w:spacing w:after="140" w:line="276"/>
      </w:pPr>
      <w:r>
        <w:rPr>
          <w:rFonts w:ascii="Calibri" w:cs="Calibri" w:eastAsia="Calibri" w:hAnsi="Calibri"/>
          <w:color w:val="16181D"/>
          <w:sz w:val="22"/>
          <w:szCs w:val="22"/>
        </w:rPr>
        <w:t xml:space="preserve">The revenue model stacks six lines sequenced by speed to cash: political advertising in the launch window; direct-sold local advertising and sponsorships as the core engine; programmatic display as the floor; clearly labeled sponsored content; a monetized public events calendar; and, in phase two, a paid business-to-business intelligence letter — the Alaska Housing &amp; Energy Brief — for which no incumbent competitor exists. Base-case projections show </w:t>
      </w:r>
      <w:r>
        <w:rPr>
          <w:rFonts w:ascii="Calibri" w:cs="Calibri" w:eastAsia="Calibri" w:hAnsi="Calibri"/>
          <w:b/>
          <w:bCs/>
          <w:color w:val="16181D"/>
          <w:sz w:val="22"/>
          <w:szCs w:val="22"/>
        </w:rPr>
        <w:t xml:space="preserve">$73,700 in year-one gross revenue growing to approximately $201,000 by year three</w:t>
      </w:r>
      <w:r>
        <w:rPr>
          <w:rFonts w:ascii="Calibri" w:cs="Calibri" w:eastAsia="Calibri" w:hAnsi="Calibri"/>
          <w:color w:val="16181D"/>
          <w:sz w:val="22"/>
          <w:szCs w:val="22"/>
        </w:rPr>
        <w:t xml:space="preserve">, with breakeven on fixed costs at roughly $475 of monthly revenue — about one small direct-sold sponsorship. The integrated three-year financial model accompanying this plan (adapted from the Alaska SBDC Financial Projection Model) carries conservative, base, and strong scenarios behind a single switch.</w:t>
      </w:r>
    </w:p>
    <w:p>
      <w:pPr>
        <w:spacing w:after="140" w:line="276"/>
      </w:pPr>
      <w:r>
        <w:rPr>
          <w:rFonts w:ascii="Calibri" w:cs="Calibri" w:eastAsia="Calibri" w:hAnsi="Calibri"/>
          <w:color w:val="16181D"/>
          <w:sz w:val="22"/>
          <w:szCs w:val="22"/>
        </w:rPr>
        <w:t xml:space="preserve">The partnership structure aligns incentives without cash risk to the founder. The Publisher pays no retainer; the General Manager's site build and commercial operation are contributed in-kind and compensated exclusively from revenue actually collected, under one of three structures detailed in this plan (recommended: a 50% revenue share until the agreed build value is recouped, then 30% ongoing). Under the base case, the founder retains approximately $35,200 in year one after all costs — from a business he paid roughly $1,400 in cash to stand up — rising to approximately $130,700 by year three, while owning the entire appreciating asset.</w:t>
      </w:r>
    </w:p>
    <w:p>
      <w:pPr>
        <w:spacing w:after="140" w:line="276"/>
      </w:pPr>
      <w:r>
        <w:rPr>
          <w:rFonts w:ascii="Calibri" w:cs="Calibri" w:eastAsia="Calibri" w:hAnsi="Calibri"/>
          <w:color w:val="16181D"/>
          <w:sz w:val="22"/>
          <w:szCs w:val="22"/>
        </w:rPr>
        <w:t xml:space="preserve">Finally, this business treats trust as infrastructure. Published ethics, corrections, and ownership-disclosure policies; a firewall separating the Publisher's mortgage business from housing coverage; automatic 'Paid for by' disclaimers rendered by the platform itself; and a voluntary public archive of every political advertisement — broadcast-grade disclosure discipline applied online, where no regulation requires it. In a market where each competitor's credibility carries a visible asterisk, the compliance culture the General Manager brings from broadcasting is not overhead. It is the moat.</w:t>
      </w:r>
    </w:p>
    <w:p>
      <w:pPr>
        <w:pStyle w:val="Heading1"/>
        <w:spacing w:after="160" w:before="400"/>
      </w:pPr>
      <w:r>
        <w:rPr>
          <w:rFonts w:ascii="Cambria" w:cs="Cambria" w:eastAsia="Cambria" w:hAnsi="Cambria"/>
          <w:b/>
          <w:bCs/>
          <w:color w:val="0E2A47"/>
          <w:sz w:val="32"/>
          <w:szCs w:val="32"/>
        </w:rPr>
        <w:t xml:space="preserve">Company Description</w:t>
      </w:r>
    </w:p>
    <w:p>
      <w:pPr>
        <w:spacing w:after="140" w:line="276"/>
      </w:pPr>
      <w:r>
        <w:rPr>
          <w:rFonts w:ascii="Calibri" w:cs="Calibri" w:eastAsia="Calibri" w:hAnsi="Calibri"/>
          <w:color w:val="16181D"/>
          <w:sz w:val="22"/>
          <w:szCs w:val="22"/>
        </w:rPr>
        <w:t xml:space="preserve">The Daily Alaska, LLC is an Anchorage-based digital news publisher covering the people, money, and decisions shaping how Alaskans live. The company operates a news website with dedicated housing and energy verticals, a daily email newsletter, a public events calendar, and the established @thedailyalaska short-video channels on TikTok and Facebook, which continue as the top of the audience funnel.</w:t>
      </w:r>
    </w:p>
    <w:p>
      <w:pPr>
        <w:spacing w:after="140" w:line="276"/>
      </w:pPr>
      <w:r>
        <w:rPr>
          <w:rFonts w:ascii="Calibri" w:cs="Calibri" w:eastAsia="Calibri" w:hAnsi="Calibri"/>
          <w:color w:val="16181D"/>
          <w:sz w:val="22"/>
          <w:szCs w:val="22"/>
        </w:rPr>
        <w:t xml:space="preserve">The company's origin is unusual and is its principal asset: it begins life with an audience. Founder Slavik Lund built The Daily Alaska as a social-native news brand delivering short, neutral recaps of Alaska news — development projects, business openings, community stories — in a plain, service-first voice. That voice, codified, becomes the editorial standard for the full news operation. The audience baseline as of August 25, 2026: TikTok @thedailyalaska — 10,903 followers, 507 videos since June 2025, 3.39 million views, 196,600 likes; Facebook — approximately 13,000 followers, 448 reels, 5.52 million views, roughly 91,000 total interactions at a 1.9% engagement rate, with eight reels over 100,000 views and a best of 627,000. The distribution is platform-typical: the Facebook median reel does about 500 views while the mean is 12,300 — the algorithm decides which work travels. That volatility (2.09 million Facebook views in May 2026; 571,000 in July) is precisely why formalization matters: the business converts rented reach into owned assets — direct traffic, an email list, and sellable advertising inventory.</w:t>
      </w:r>
    </w:p>
    <w:p>
      <w:pPr>
        <w:spacing w:after="140" w:line="276"/>
      </w:pPr>
      <w:r>
        <w:rPr>
          <w:rFonts w:ascii="Calibri" w:cs="Calibri" w:eastAsia="Calibri" w:hAnsi="Calibri"/>
          <w:color w:val="16181D"/>
          <w:sz w:val="22"/>
          <w:szCs w:val="22"/>
        </w:rPr>
        <w:t xml:space="preserve">The Daily Alaska is organized as an Alaska limited liability company headquartered in Anchorage, with a commercial registered agent and business mailing address (approximately $50 per month combined). It publishes statewide, with Anchorage, the Mat-Su Borough, Fairbanks, and Juneau as primary coverage zones, mirroring where its existing social audience lives.</w:t>
      </w:r>
    </w:p>
    <w:p>
      <w:pPr>
        <w:pStyle w:val="Heading2"/>
        <w:spacing w:after="120" w:before="280"/>
      </w:pPr>
      <w:r>
        <w:rPr>
          <w:rFonts w:ascii="Cambria" w:cs="Cambria" w:eastAsia="Cambria" w:hAnsi="Cambria"/>
          <w:b/>
          <w:bCs/>
          <w:color w:val="1E8A7E"/>
          <w:sz w:val="26"/>
          <w:szCs w:val="26"/>
        </w:rPr>
        <w:t xml:space="preserve">What the company sells</w:t>
      </w:r>
    </w:p>
    <w:p>
      <w:pPr>
        <w:pStyle w:val="ListParagraph"/>
        <w:numPr>
          <w:ilvl w:val="0"/>
          <w:numId w:val="2"/>
        </w:numPr>
        <w:spacing w:after="80" w:line="276"/>
      </w:pPr>
      <w:r>
        <w:rPr>
          <w:rFonts w:ascii="Calibri" w:cs="Calibri" w:eastAsia="Calibri" w:hAnsi="Calibri"/>
          <w:b/>
          <w:bCs/>
          <w:color w:val="16181D"/>
          <w:sz w:val="22"/>
          <w:szCs w:val="22"/>
        </w:rPr>
        <w:t xml:space="preserve">Attention, honestly labeled. </w:t>
      </w:r>
      <w:r>
        <w:rPr>
          <w:rFonts w:ascii="Calibri" w:cs="Calibri" w:eastAsia="Calibri" w:hAnsi="Calibri"/>
          <w:color w:val="16181D"/>
          <w:sz w:val="22"/>
          <w:szCs w:val="22"/>
        </w:rPr>
        <w:t xml:space="preserve">Display placements, section and data-tracker sponsorships, newsletter slots, and clearly disclosed sponsored content, sold direct at flat monthly rates, with programmatic display filling unsold inventory.</w:t>
      </w:r>
    </w:p>
    <w:p>
      <w:pPr>
        <w:pStyle w:val="ListParagraph"/>
        <w:numPr>
          <w:ilvl w:val="0"/>
          <w:numId w:val="2"/>
        </w:numPr>
        <w:spacing w:after="80" w:line="276"/>
      </w:pPr>
      <w:r>
        <w:rPr>
          <w:rFonts w:ascii="Calibri" w:cs="Calibri" w:eastAsia="Calibri" w:hAnsi="Calibri"/>
          <w:b/>
          <w:bCs/>
          <w:color w:val="16181D"/>
          <w:sz w:val="22"/>
          <w:szCs w:val="22"/>
        </w:rPr>
        <w:t xml:space="preserve">The election-cycle premium. </w:t>
      </w:r>
      <w:r>
        <w:rPr>
          <w:rFonts w:ascii="Calibri" w:cs="Calibri" w:eastAsia="Calibri" w:hAnsi="Calibri"/>
          <w:color w:val="16181D"/>
          <w:sz w:val="22"/>
          <w:szCs w:val="22"/>
        </w:rPr>
        <w:t xml:space="preserve">Flat-rate weekly political placements with platform-enforced disclaimers and a public political-ad archive, sold from a uniform public rate card.</w:t>
      </w:r>
    </w:p>
    <w:p>
      <w:pPr>
        <w:pStyle w:val="ListParagraph"/>
        <w:numPr>
          <w:ilvl w:val="0"/>
          <w:numId w:val="2"/>
        </w:numPr>
        <w:spacing w:after="80" w:line="276"/>
      </w:pPr>
      <w:r>
        <w:rPr>
          <w:rFonts w:ascii="Calibri" w:cs="Calibri" w:eastAsia="Calibri" w:hAnsi="Calibri"/>
          <w:b/>
          <w:bCs/>
          <w:color w:val="16181D"/>
          <w:sz w:val="22"/>
          <w:szCs w:val="22"/>
        </w:rPr>
        <w:t xml:space="preserve">Community infrastructure. </w:t>
      </w:r>
      <w:r>
        <w:rPr>
          <w:rFonts w:ascii="Calibri" w:cs="Calibri" w:eastAsia="Calibri" w:hAnsi="Calibri"/>
          <w:color w:val="16181D"/>
          <w:sz w:val="22"/>
          <w:szCs w:val="22"/>
        </w:rPr>
        <w:t xml:space="preserve">A free public events calendar with paid featured listings and category sponsorships — the utility layer that makes the site a daily habit rather than a headline destination.</w:t>
      </w:r>
    </w:p>
    <w:p>
      <w:pPr>
        <w:pStyle w:val="ListParagraph"/>
        <w:numPr>
          <w:ilvl w:val="0"/>
          <w:numId w:val="2"/>
        </w:numPr>
        <w:spacing w:after="80" w:line="276"/>
      </w:pPr>
      <w:r>
        <w:rPr>
          <w:rFonts w:ascii="Calibri" w:cs="Calibri" w:eastAsia="Calibri" w:hAnsi="Calibri"/>
          <w:b/>
          <w:bCs/>
          <w:color w:val="16181D"/>
          <w:sz w:val="22"/>
          <w:szCs w:val="22"/>
        </w:rPr>
        <w:t xml:space="preserve">Intelligence (phase two). </w:t>
      </w:r>
      <w:r>
        <w:rPr>
          <w:rFonts w:ascii="Calibri" w:cs="Calibri" w:eastAsia="Calibri" w:hAnsi="Calibri"/>
          <w:color w:val="16181D"/>
          <w:sz w:val="22"/>
          <w:szCs w:val="22"/>
        </w:rPr>
        <w:t xml:space="preserve">The Alaska Housing &amp; Energy Brief, a paid professional briefing modeled on the Alaska Landmine's proven $1,299-per-year Political Report, priced at $299–$599 per year for the housing and energy trades.</w:t>
      </w:r>
    </w:p>
    <w:p>
      <w:pPr>
        <w:pStyle w:val="Heading1"/>
        <w:spacing w:after="160" w:before="400"/>
      </w:pPr>
      <w:r>
        <w:rPr>
          <w:rFonts w:ascii="Cambria" w:cs="Cambria" w:eastAsia="Cambria" w:hAnsi="Cambria"/>
          <w:b/>
          <w:bCs/>
          <w:color w:val="0E2A47"/>
          <w:sz w:val="32"/>
          <w:szCs w:val="32"/>
        </w:rPr>
        <w:t xml:space="preserve">Leadership</w:t>
      </w:r>
    </w:p>
    <w:p>
      <w:pPr>
        <w:spacing w:after="140" w:line="276"/>
      </w:pPr>
      <w:r>
        <w:rPr>
          <w:rFonts w:ascii="Calibri" w:cs="Calibri" w:eastAsia="Calibri" w:hAnsi="Calibri"/>
          <w:b/>
          <w:bCs/>
          <w:color w:val="16181D"/>
          <w:sz w:val="22"/>
          <w:szCs w:val="22"/>
        </w:rPr>
        <w:t xml:space="preserve">Slavik Lund — Founder &amp; Publisher. </w:t>
      </w:r>
      <w:r>
        <w:rPr>
          <w:rFonts w:ascii="Calibri" w:cs="Calibri" w:eastAsia="Calibri" w:hAnsi="Calibri"/>
          <w:color w:val="16181D"/>
          <w:sz w:val="22"/>
          <w:szCs w:val="22"/>
        </w:rPr>
        <w:t xml:space="preserve">Slavik Lund built The Daily Alaska from nothing into a recognized Alaska media brand while running a full-time mortgage practice (NMLS #2054568). A licensed mortgage broker and real estate investor with a political science and international relations background, he brings two assets few local publishers possess: genuine subject-matter depth in the housing economy the outlet covers, and an on-camera voice audiences already trust. As Publisher he holds final editorial authority, leads story selection, and remains the face of the brand's video journalism. His outside business interests are governed by the disclosure firewall described in the Operations Plan: the publisher does not assign, edit, or kill housing-finance stories in which he holds a direct interest, and his mortgage brand may advertise on the site only as a disclosed, paying sponsor on the public rate card like any other advertiser.</w:t>
      </w:r>
    </w:p>
    <w:p>
      <w:pPr>
        <w:spacing w:after="140" w:line="276"/>
      </w:pPr>
      <w:r>
        <w:rPr>
          <w:rFonts w:ascii="Calibri" w:cs="Calibri" w:eastAsia="Calibri" w:hAnsi="Calibri"/>
          <w:b/>
          <w:bCs/>
          <w:color w:val="16181D"/>
          <w:sz w:val="22"/>
          <w:szCs w:val="22"/>
        </w:rPr>
        <w:t xml:space="preserve">David Chapa — General Manager. </w:t>
      </w:r>
      <w:r>
        <w:rPr>
          <w:rFonts w:ascii="Calibri" w:cs="Calibri" w:eastAsia="Calibri" w:hAnsi="Calibri"/>
          <w:color w:val="16181D"/>
          <w:sz w:val="22"/>
          <w:szCs w:val="22"/>
        </w:rPr>
        <w:t xml:space="preserve">David Chapa brings a broadcasting background with the compliance culture that entails — sponsorship identification, political file discipline, equal-treatment practice — together with professional experience in marketing, strategic communications, fundraising, and event management, including a Master of Science in Communications and a decade of event planning. He has planned and financially modeled Alaska ventures through the Alaska Small Business Development Center and operates Chapa Lyons Professional Services, whose same-day formation playbook this plan reuses. As General Manager — the broadcast-industry title for the business-side lead — he is responsible for the site build and operation, advertising operations and direct sales, compliance processes, and monthly financial reporting to the Publisher. Under the equity structure (Option C in Compensation and Ownership), the title becomes Managing Partner &amp; General Manager.</w:t>
      </w:r>
    </w:p>
    <w:p>
      <w:pPr>
        <w:spacing w:after="140" w:line="276"/>
      </w:pPr>
      <w:r>
        <w:rPr>
          <w:rFonts w:ascii="Calibri" w:cs="Calibri" w:eastAsia="Calibri" w:hAnsi="Calibri"/>
          <w:b/>
          <w:bCs/>
          <w:color w:val="16181D"/>
          <w:sz w:val="22"/>
          <w:szCs w:val="22"/>
        </w:rPr>
        <w:t xml:space="preserve">Division of labor. </w:t>
      </w:r>
      <w:r>
        <w:rPr>
          <w:rFonts w:ascii="Calibri" w:cs="Calibri" w:eastAsia="Calibri" w:hAnsi="Calibri"/>
          <w:color w:val="16181D"/>
          <w:sz w:val="22"/>
          <w:szCs w:val="22"/>
        </w:rPr>
        <w:t xml:space="preserve">The Publisher owns voice and editorial judgment; the General Manager owns everything that makes those sellable — platform, inventory, pipeline, and books. Support functions are deliberately thin: bookkeeping is handled in-house at launch with a budgeted reserve, an Anchorage CPA is engaged at tax time, and a single attorney review covers the operating agreement. A dedicated business-manager hire is premature below roughly $20,000 in monthly revenue and is planned for reconsideration at that threshold.</w:t>
      </w:r>
    </w:p>
    <w:p>
      <w:pPr>
        <w:pStyle w:val="Heading1"/>
        <w:spacing w:after="160" w:before="400"/>
      </w:pPr>
      <w:r>
        <w:rPr>
          <w:rFonts w:ascii="Cambria" w:cs="Cambria" w:eastAsia="Cambria" w:hAnsi="Cambria"/>
          <w:b/>
          <w:bCs/>
          <w:color w:val="0E2A47"/>
          <w:sz w:val="32"/>
          <w:szCs w:val="32"/>
        </w:rPr>
        <w:t xml:space="preserve">Mission and Vision</w:t>
      </w:r>
    </w:p>
    <w:p>
      <w:pPr>
        <w:spacing w:after="140" w:line="276"/>
      </w:pPr>
      <w:r>
        <w:rPr>
          <w:rFonts w:ascii="Calibri" w:cs="Calibri" w:eastAsia="Calibri" w:hAnsi="Calibri"/>
          <w:b/>
          <w:bCs/>
          <w:color w:val="16181D"/>
          <w:sz w:val="22"/>
          <w:szCs w:val="22"/>
        </w:rPr>
        <w:t xml:space="preserve">Mission statement: </w:t>
      </w:r>
      <w:r>
        <w:rPr>
          <w:rFonts w:ascii="Calibri" w:cs="Calibri" w:eastAsia="Calibri" w:hAnsi="Calibri"/>
          <w:color w:val="16181D"/>
          <w:sz w:val="22"/>
          <w:szCs w:val="22"/>
        </w:rPr>
        <w:t xml:space="preserve">The Daily Alaska delivers independent news on the people, money, and decisions shaping how Alaskans live — with daily coverage of housing, energy, and politics, told straight.</w:t>
      </w:r>
    </w:p>
    <w:p>
      <w:pPr>
        <w:spacing w:after="140" w:line="276"/>
      </w:pPr>
      <w:r>
        <w:rPr>
          <w:rFonts w:ascii="Calibri" w:cs="Calibri" w:eastAsia="Calibri" w:hAnsi="Calibri"/>
          <w:b/>
          <w:bCs/>
          <w:color w:val="16181D"/>
          <w:sz w:val="22"/>
          <w:szCs w:val="22"/>
        </w:rPr>
        <w:t xml:space="preserve">Vision: </w:t>
      </w:r>
      <w:r>
        <w:rPr>
          <w:rFonts w:ascii="Calibri" w:cs="Calibri" w:eastAsia="Calibri" w:hAnsi="Calibri"/>
          <w:color w:val="16181D"/>
          <w:sz w:val="22"/>
          <w:szCs w:val="22"/>
        </w:rPr>
        <w:t xml:space="preserve">Within five years, The Daily Alaska is the outlet Alaskans check first on the two questions that dominate household budgets — where will I live and what will it cost to stay warm — and the outlet Alaska's professional class pays for intelligence on both. Four commitments define the path:</w:t>
      </w:r>
    </w:p>
    <w:p>
      <w:pPr>
        <w:spacing w:after="140" w:line="276"/>
      </w:pPr>
      <w:r>
        <w:rPr>
          <w:rFonts w:ascii="Calibri" w:cs="Calibri" w:eastAsia="Calibri" w:hAnsi="Calibri"/>
          <w:i/>
          <w:iCs/>
          <w:color w:val="16181D"/>
          <w:sz w:val="22"/>
          <w:szCs w:val="22"/>
        </w:rPr>
        <w:t xml:space="preserve">Editorial independence: </w:t>
      </w:r>
      <w:r>
        <w:rPr>
          <w:rFonts w:ascii="Calibri" w:cs="Calibri" w:eastAsia="Calibri" w:hAnsi="Calibri"/>
          <w:color w:val="16181D"/>
          <w:sz w:val="22"/>
          <w:szCs w:val="22"/>
        </w:rPr>
        <w:t xml:space="preserve">No party, no faction, no owner's thumb on the scale. Analysis is labeled analysis; opinion, if published at all, is visually unmistakable. Independence is enforced structurally — through published policies and the ownership firewall — rather than merely asserted.</w:t>
      </w:r>
    </w:p>
    <w:p>
      <w:pPr>
        <w:spacing w:after="140" w:line="276"/>
      </w:pPr>
      <w:r>
        <w:rPr>
          <w:rFonts w:ascii="Calibri" w:cs="Calibri" w:eastAsia="Calibri" w:hAnsi="Calibri"/>
          <w:i/>
          <w:iCs/>
          <w:color w:val="16181D"/>
          <w:sz w:val="22"/>
          <w:szCs w:val="22"/>
        </w:rPr>
        <w:t xml:space="preserve">Service journalism: </w:t>
      </w:r>
      <w:r>
        <w:rPr>
          <w:rFonts w:ascii="Calibri" w:cs="Calibri" w:eastAsia="Calibri" w:hAnsi="Calibri"/>
          <w:color w:val="16181D"/>
          <w:sz w:val="22"/>
          <w:szCs w:val="22"/>
        </w:rPr>
        <w:t xml:space="preserve">Every story answers what it means for the reader's rent, mortgage, gas bill, commute, or town. Standing data trackers — median prices and rents, utility rates, gas storage, election money — make the site useful on days when there is no news at all.</w:t>
      </w:r>
    </w:p>
    <w:p>
      <w:pPr>
        <w:spacing w:after="140" w:line="276"/>
      </w:pPr>
      <w:r>
        <w:rPr>
          <w:rFonts w:ascii="Calibri" w:cs="Calibri" w:eastAsia="Calibri" w:hAnsi="Calibri"/>
          <w:i/>
          <w:iCs/>
          <w:color w:val="16181D"/>
          <w:sz w:val="22"/>
          <w:szCs w:val="22"/>
        </w:rPr>
        <w:t xml:space="preserve">Vertical authority: </w:t>
      </w:r>
      <w:r>
        <w:rPr>
          <w:rFonts w:ascii="Calibri" w:cs="Calibri" w:eastAsia="Calibri" w:hAnsi="Calibri"/>
          <w:color w:val="16181D"/>
          <w:sz w:val="22"/>
          <w:szCs w:val="22"/>
        </w:rPr>
        <w:t xml:space="preserve">Housing and energy are not beats among many; they are the franchise. Both are rich in primary documents — APOC filings, Regulatory Commission of Alaska dockets, AHFC and MLS data, borough records — enabling original reporting that requires no wire service and no one's permission.</w:t>
      </w:r>
    </w:p>
    <w:p>
      <w:pPr>
        <w:spacing w:after="140" w:line="276"/>
      </w:pPr>
      <w:r>
        <w:rPr>
          <w:rFonts w:ascii="Calibri" w:cs="Calibri" w:eastAsia="Calibri" w:hAnsi="Calibri"/>
          <w:i/>
          <w:iCs/>
          <w:color w:val="16181D"/>
          <w:sz w:val="22"/>
          <w:szCs w:val="22"/>
        </w:rPr>
        <w:t xml:space="preserve">Commercial discipline: </w:t>
      </w:r>
      <w:r>
        <w:rPr>
          <w:rFonts w:ascii="Calibri" w:cs="Calibri" w:eastAsia="Calibri" w:hAnsi="Calibri"/>
          <w:color w:val="16181D"/>
          <w:sz w:val="22"/>
          <w:szCs w:val="22"/>
        </w:rPr>
        <w:t xml:space="preserve">Radical labeling of everything paid; a uniform public rate card; ad density capped as a brand rule; broadcast-grade political-ad disclosure applied voluntarily. The revenue model is designed to be shown to readers, not hidden from them.</w:t>
      </w:r>
    </w:p>
    <w:p>
      <w:pPr>
        <w:pStyle w:val="Heading1"/>
        <w:spacing w:after="160" w:before="400"/>
      </w:pPr>
      <w:r>
        <w:rPr>
          <w:rFonts w:ascii="Cambria" w:cs="Cambria" w:eastAsia="Cambria" w:hAnsi="Cambria"/>
          <w:b/>
          <w:bCs/>
          <w:color w:val="0E2A47"/>
          <w:sz w:val="32"/>
          <w:szCs w:val="32"/>
        </w:rPr>
        <w:t xml:space="preserve">Legal Structure and Governance</w:t>
      </w:r>
    </w:p>
    <w:p>
      <w:pPr>
        <w:pStyle w:val="Heading2"/>
        <w:spacing w:after="120" w:before="280"/>
      </w:pPr>
      <w:r>
        <w:rPr>
          <w:rFonts w:ascii="Cambria" w:cs="Cambria" w:eastAsia="Cambria" w:hAnsi="Cambria"/>
          <w:b/>
          <w:bCs/>
          <w:color w:val="1E8A7E"/>
          <w:sz w:val="26"/>
          <w:szCs w:val="26"/>
        </w:rPr>
        <w:t xml:space="preserve">Entity and formation</w:t>
      </w:r>
    </w:p>
    <w:p>
      <w:pPr>
        <w:spacing w:after="140" w:line="276"/>
      </w:pPr>
      <w:r>
        <w:rPr>
          <w:rFonts w:ascii="Calibri" w:cs="Calibri" w:eastAsia="Calibri" w:hAnsi="Calibri"/>
          <w:color w:val="16181D"/>
          <w:sz w:val="22"/>
          <w:szCs w:val="22"/>
        </w:rPr>
        <w:t xml:space="preserve">The Daily Alaska will operate as an Alaska limited liability company, member-managed, formed by same-day online filing with the Alaska Division of Corporations, Business &amp; Professional Licensing. The formation sequence — proven with Chapa Lyons Professional Services — completes in days, not weeks, and runs in parallel with the site build rather than ahead of it.</w:t>
      </w:r>
    </w:p>
    <w:tbl>
      <w:tblPr>
        <w:tblW w:type="dxa" w:w="9960"/>
        <w:tblBorders>
          <w:top w:val="single" w:color="auto" w:sz="4"/>
          <w:left w:val="single" w:color="auto" w:sz="4"/>
          <w:bottom w:val="single" w:color="auto" w:sz="4"/>
          <w:right w:val="single" w:color="auto" w:sz="4"/>
          <w:insideH w:val="single" w:color="auto" w:sz="4"/>
          <w:insideV w:val="single" w:color="auto" w:sz="4"/>
        </w:tblBorders>
      </w:tblPr>
      <w:tblGrid>
        <w:gridCol w:w="2900"/>
        <w:gridCol w:w="5300"/>
        <w:gridCol w:w="1760"/>
      </w:tblGrid>
      <w:tr>
        <w:trPr>
          <w:tblHeader/>
        </w:trPr>
        <w:tc>
          <w:tcPr>
            <w:tcW w:type="dxa" w:w="29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Step</w:t>
            </w:r>
          </w:p>
        </w:tc>
        <w:tc>
          <w:tcPr>
            <w:tcW w:type="dxa" w:w="53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Detail</w:t>
            </w:r>
          </w:p>
        </w:tc>
        <w:tc>
          <w:tcPr>
            <w:tcW w:type="dxa" w:w="176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Cost</w:t>
            </w:r>
          </w:p>
        </w:tc>
      </w:tr>
      <w:tr>
        <w:tc>
          <w:tcPr>
            <w:tcW w:type="dxa" w:w="2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Articles of Organization</w:t>
            </w:r>
          </w:p>
        </w:tc>
        <w:tc>
          <w:tcPr>
            <w:tcW w:type="dxa" w:w="5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Filed online, same day; NAICS 519130 (web publishing)</w:t>
            </w:r>
          </w:p>
        </w:tc>
        <w:tc>
          <w:tcPr>
            <w:tcW w:type="dxa" w:w="17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$250</w:t>
            </w:r>
          </w:p>
        </w:tc>
      </w:tr>
      <w:tr>
        <w:tc>
          <w:tcPr>
            <w:tcW w:type="dxa" w:w="2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Initial report</w:t>
            </w:r>
          </w:p>
        </w:tc>
        <w:tc>
          <w:tcPr>
            <w:tcW w:type="dxa" w:w="5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Due within six months of organization</w:t>
            </w:r>
          </w:p>
        </w:tc>
        <w:tc>
          <w:tcPr>
            <w:tcW w:type="dxa" w:w="17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$0</w:t>
            </w:r>
          </w:p>
        </w:tc>
      </w:tr>
      <w:tr>
        <w:tc>
          <w:tcPr>
            <w:tcW w:type="dxa" w:w="2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Biennial report</w:t>
            </w:r>
          </w:p>
        </w:tc>
        <w:tc>
          <w:tcPr>
            <w:tcW w:type="dxa" w:w="5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Every two years thereafter</w:t>
            </w:r>
          </w:p>
        </w:tc>
        <w:tc>
          <w:tcPr>
            <w:tcW w:type="dxa" w:w="17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$100</w:t>
            </w:r>
          </w:p>
        </w:tc>
      </w:tr>
      <w:tr>
        <w:tc>
          <w:tcPr>
            <w:tcW w:type="dxa" w:w="2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Alaska business license</w:t>
            </w:r>
          </w:p>
        </w:tc>
        <w:tc>
          <w:tcPr>
            <w:tcW w:type="dxa" w:w="5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AS 43.70; renewed annually</w:t>
            </w:r>
          </w:p>
        </w:tc>
        <w:tc>
          <w:tcPr>
            <w:tcW w:type="dxa" w:w="17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$50/yr</w:t>
            </w:r>
          </w:p>
        </w:tc>
      </w:tr>
      <w:tr>
        <w:tc>
          <w:tcPr>
            <w:tcW w:type="dxa" w:w="2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Registered agent + business mailing address</w:t>
            </w:r>
          </w:p>
        </w:tc>
        <w:tc>
          <w:tcPr>
            <w:tcW w:type="dxa" w:w="5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Commercial agent plus rented business mail address, combined — the existing Chapa Lyons arrangement</w:t>
            </w:r>
          </w:p>
        </w:tc>
        <w:tc>
          <w:tcPr>
            <w:tcW w:type="dxa" w:w="17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~$50/mo</w:t>
            </w:r>
          </w:p>
        </w:tc>
      </w:tr>
      <w:tr>
        <w:tc>
          <w:tcPr>
            <w:tcW w:type="dxa" w:w="2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Federal EIN</w:t>
            </w:r>
          </w:p>
        </w:tc>
        <w:tc>
          <w:tcPr>
            <w:tcW w:type="dxa" w:w="5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IRS, online, same day</w:t>
            </w:r>
          </w:p>
        </w:tc>
        <w:tc>
          <w:tcPr>
            <w:tcW w:type="dxa" w:w="17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$0</w:t>
            </w:r>
          </w:p>
        </w:tc>
      </w:tr>
      <w:tr>
        <w:tc>
          <w:tcPr>
            <w:tcW w:type="dxa" w:w="2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Business bank account</w:t>
            </w:r>
          </w:p>
        </w:tc>
        <w:tc>
          <w:tcPr>
            <w:tcW w:type="dxa" w:w="5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Opened within the first week</w:t>
            </w:r>
          </w:p>
        </w:tc>
        <w:tc>
          <w:tcPr>
            <w:tcW w:type="dxa" w:w="17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$0</w:t>
            </w:r>
          </w:p>
        </w:tc>
      </w:tr>
      <w:tr>
        <w:tc>
          <w:tcPr>
            <w:tcW w:type="dxa" w:w="2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Operating agreement</w:t>
            </w:r>
          </w:p>
        </w:tc>
        <w:tc>
          <w:tcPr>
            <w:tcW w:type="dxa" w:w="5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Member-managed; encodes compensation structure, editorial authority, IP ownership, exit terms; single attorney review</w:t>
            </w:r>
          </w:p>
        </w:tc>
        <w:tc>
          <w:tcPr>
            <w:tcW w:type="dxa" w:w="17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$500–$1,500 est.</w:t>
            </w:r>
          </w:p>
        </w:tc>
      </w:tr>
      <w:tr>
        <w:tc>
          <w:tcPr>
            <w:tcW w:type="dxa" w:w="2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Media liability insurance</w:t>
            </w:r>
          </w:p>
        </w:tc>
        <w:tc>
          <w:tcPr>
            <w:tcW w:type="dxa" w:w="5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Libel and errors &amp; omissions coverage for publishers; monthly payment plan keeps launch cash low; quotes in progress</w:t>
            </w:r>
          </w:p>
        </w:tc>
        <w:tc>
          <w:tcPr>
            <w:tcW w:type="dxa" w:w="17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~$210/mo est.</w:t>
            </w:r>
          </w:p>
        </w:tc>
      </w:tr>
    </w:tbl>
    <w:p>
      <w:pPr>
        <w:spacing w:after="120"/>
      </w:pPr>
    </w:p>
    <w:p>
      <w:pPr>
        <w:pStyle w:val="Heading2"/>
        <w:spacing w:after="120" w:before="280"/>
      </w:pPr>
      <w:r>
        <w:rPr>
          <w:rFonts w:ascii="Cambria" w:cs="Cambria" w:eastAsia="Cambria" w:hAnsi="Cambria"/>
          <w:b/>
          <w:bCs/>
          <w:color w:val="1E8A7E"/>
          <w:sz w:val="26"/>
          <w:szCs w:val="26"/>
        </w:rPr>
        <w:t xml:space="preserve">Ownership and governance</w:t>
      </w:r>
    </w:p>
    <w:p>
      <w:pPr>
        <w:spacing w:after="140" w:line="276"/>
      </w:pPr>
      <w:r>
        <w:rPr>
          <w:rFonts w:ascii="Calibri" w:cs="Calibri" w:eastAsia="Calibri" w:hAnsi="Calibri"/>
          <w:color w:val="16181D"/>
          <w:sz w:val="22"/>
          <w:szCs w:val="22"/>
        </w:rPr>
        <w:t xml:space="preserve">At formation, Slavik Lund is the sole or majority member, contributing the brand, social accounts, domains, and audience. David Chapa's participation takes one of the three structures detailed in Compensation and Ownership Structure: a contractual revenue share (Options A and B, in which the founder retains 100% of equity) or a minority membership interest vesting over 24 months (Option C, founder-majority at 60/40 to 70/30). In all structures, the operating agreement fixes four governance points: the Publisher holds final editorial authority; the published ethics and disclosure policies bind both parties; the platform stack remains standard and portable, with no party holding the business hostage technically; and neither party's compensation is computed on the other's outside business.</w:t>
      </w:r>
    </w:p>
    <w:p>
      <w:pPr>
        <w:pStyle w:val="Heading2"/>
        <w:spacing w:after="120" w:before="280"/>
      </w:pPr>
      <w:r>
        <w:rPr>
          <w:rFonts w:ascii="Cambria" w:cs="Cambria" w:eastAsia="Cambria" w:hAnsi="Cambria"/>
          <w:b/>
          <w:bCs/>
          <w:color w:val="1E8A7E"/>
          <w:sz w:val="26"/>
          <w:szCs w:val="26"/>
        </w:rPr>
        <w:t xml:space="preserve">Regulatory environment</w:t>
      </w:r>
    </w:p>
    <w:p>
      <w:pPr>
        <w:spacing w:after="140" w:line="276"/>
      </w:pPr>
      <w:r>
        <w:rPr>
          <w:rFonts w:ascii="Calibri" w:cs="Calibri" w:eastAsia="Calibri" w:hAnsi="Calibri"/>
          <w:color w:val="16181D"/>
          <w:sz w:val="22"/>
          <w:szCs w:val="22"/>
        </w:rPr>
        <w:t xml:space="preserve">Online news publishing requires no federal license. FCC political-advertising rules — equal opportunity, lowest unit rate, the public political file — bind broadcast licensees, not websites. What does apply, the company builds into the platform itself rather than into a compliance binder:</w:t>
      </w:r>
    </w:p>
    <w:p>
      <w:pPr>
        <w:pStyle w:val="ListParagraph"/>
        <w:numPr>
          <w:ilvl w:val="0"/>
          <w:numId w:val="2"/>
        </w:numPr>
        <w:spacing w:after="80" w:line="276"/>
      </w:pPr>
      <w:r>
        <w:rPr>
          <w:rFonts w:ascii="Calibri" w:cs="Calibri" w:eastAsia="Calibri" w:hAnsi="Calibri"/>
          <w:b/>
          <w:bCs/>
          <w:color w:val="16181D"/>
          <w:sz w:val="22"/>
          <w:szCs w:val="22"/>
        </w:rPr>
        <w:t xml:space="preserve">APOC (state races): </w:t>
      </w:r>
      <w:r>
        <w:rPr>
          <w:rFonts w:ascii="Calibri" w:cs="Calibri" w:eastAsia="Calibri" w:hAnsi="Calibri"/>
          <w:color w:val="16181D"/>
          <w:sz w:val="22"/>
          <w:szCs w:val="22"/>
        </w:rPr>
        <w:t xml:space="preserve">Alaska's campaign disclosure law, AS 15.13, requires 'Paid for by' identification on paid political communications. The platform enforces this in code: a political campaign cannot exist in the ad server without its payer identification, and the disclaimer chip is rendered by the ad slot itself so no creative can crop it out.</w:t>
      </w:r>
    </w:p>
    <w:p>
      <w:pPr>
        <w:pStyle w:val="ListParagraph"/>
        <w:numPr>
          <w:ilvl w:val="0"/>
          <w:numId w:val="2"/>
        </w:numPr>
        <w:spacing w:after="80" w:line="276"/>
      </w:pPr>
      <w:r>
        <w:rPr>
          <w:rFonts w:ascii="Calibri" w:cs="Calibri" w:eastAsia="Calibri" w:hAnsi="Calibri"/>
          <w:b/>
          <w:bCs/>
          <w:color w:val="16181D"/>
          <w:sz w:val="22"/>
          <w:szCs w:val="22"/>
        </w:rPr>
        <w:t xml:space="preserve">FEC (federal races): </w:t>
      </w:r>
      <w:r>
        <w:rPr>
          <w:rFonts w:ascii="Calibri" w:cs="Calibri" w:eastAsia="Calibri" w:hAnsi="Calibri"/>
          <w:color w:val="16181D"/>
          <w:sz w:val="22"/>
          <w:szCs w:val="22"/>
        </w:rPr>
        <w:t xml:space="preserve">Federal disclaimer requirements apply to U.S. House and Senate advertising; the same platform mechanism carries the federal disclaimer text.</w:t>
      </w:r>
    </w:p>
    <w:p>
      <w:pPr>
        <w:pStyle w:val="ListParagraph"/>
        <w:numPr>
          <w:ilvl w:val="0"/>
          <w:numId w:val="2"/>
        </w:numPr>
        <w:spacing w:after="80" w:line="276"/>
      </w:pPr>
      <w:r>
        <w:rPr>
          <w:rFonts w:ascii="Calibri" w:cs="Calibri" w:eastAsia="Calibri" w:hAnsi="Calibri"/>
          <w:b/>
          <w:bCs/>
          <w:color w:val="16181D"/>
          <w:sz w:val="22"/>
          <w:szCs w:val="22"/>
        </w:rPr>
        <w:t xml:space="preserve">FTC (commercial speech): </w:t>
      </w:r>
      <w:r>
        <w:rPr>
          <w:rFonts w:ascii="Calibri" w:cs="Calibri" w:eastAsia="Calibri" w:hAnsi="Calibri"/>
          <w:color w:val="16181D"/>
          <w:sz w:val="22"/>
          <w:szCs w:val="22"/>
        </w:rPr>
        <w:t xml:space="preserve">Sponsored and native content carries clear and conspicuous labeling, enforced at the template level so sponsored material cannot be published unlabeled.</w:t>
      </w:r>
    </w:p>
    <w:p>
      <w:pPr>
        <w:pStyle w:val="ListParagraph"/>
        <w:numPr>
          <w:ilvl w:val="0"/>
          <w:numId w:val="2"/>
        </w:numPr>
        <w:spacing w:after="80" w:line="276"/>
      </w:pPr>
      <w:r>
        <w:rPr>
          <w:rFonts w:ascii="Calibri" w:cs="Calibri" w:eastAsia="Calibri" w:hAnsi="Calibri"/>
          <w:b/>
          <w:bCs/>
          <w:color w:val="16181D"/>
          <w:sz w:val="22"/>
          <w:szCs w:val="22"/>
        </w:rPr>
        <w:t xml:space="preserve">Copyright discipline: </w:t>
      </w:r>
      <w:r>
        <w:rPr>
          <w:rFonts w:ascii="Calibri" w:cs="Calibri" w:eastAsia="Calibri" w:hAnsi="Calibri"/>
          <w:color w:val="16181D"/>
          <w:sz w:val="22"/>
          <w:szCs w:val="22"/>
        </w:rPr>
        <w:t xml:space="preserve">The editorial operation shifts from summarizing other outlets toward primary-source reporting (public filings, dockets, agency data), with credit and links whenever secondary sources are used.</w:t>
      </w:r>
    </w:p>
    <w:p>
      <w:pPr>
        <w:pStyle w:val="ListParagraph"/>
        <w:numPr>
          <w:ilvl w:val="0"/>
          <w:numId w:val="2"/>
        </w:numPr>
        <w:spacing w:after="80" w:line="276"/>
      </w:pPr>
      <w:r>
        <w:rPr>
          <w:rFonts w:ascii="Calibri" w:cs="Calibri" w:eastAsia="Calibri" w:hAnsi="Calibri"/>
          <w:b/>
          <w:bCs/>
          <w:color w:val="16181D"/>
          <w:sz w:val="22"/>
          <w:szCs w:val="22"/>
        </w:rPr>
        <w:t xml:space="preserve">Voluntary standard: </w:t>
      </w:r>
      <w:r>
        <w:rPr>
          <w:rFonts w:ascii="Calibri" w:cs="Calibri" w:eastAsia="Calibri" w:hAnsi="Calibri"/>
          <w:color w:val="16181D"/>
          <w:sz w:val="22"/>
          <w:szCs w:val="22"/>
        </w:rPr>
        <w:t xml:space="preserve">A public archive of every political advertisement — advertiser, flight dates, rate band, creative — published at /political-ads. No law requires it of a website; maintaining it anyway is the company's trust posture in one page.</w:t>
      </w:r>
    </w:p>
    <w:p>
      <w:pPr>
        <w:pStyle w:val="Heading2"/>
        <w:spacing w:after="120" w:before="280"/>
      </w:pPr>
      <w:r>
        <w:rPr>
          <w:rFonts w:ascii="Cambria" w:cs="Cambria" w:eastAsia="Cambria" w:hAnsi="Cambria"/>
          <w:b/>
          <w:bCs/>
          <w:color w:val="1E8A7E"/>
          <w:sz w:val="26"/>
          <w:szCs w:val="26"/>
        </w:rPr>
        <w:t xml:space="preserve">Liability protection</w:t>
      </w:r>
    </w:p>
    <w:p>
      <w:pPr>
        <w:spacing w:after="140" w:line="276"/>
      </w:pPr>
      <w:r>
        <w:rPr>
          <w:rFonts w:ascii="Calibri" w:cs="Calibri" w:eastAsia="Calibri" w:hAnsi="Calibri"/>
          <w:color w:val="16181D"/>
          <w:sz w:val="22"/>
          <w:szCs w:val="22"/>
        </w:rPr>
        <w:t xml:space="preserve">Four layers protect the members: the LLC liability shield itself; media liability (libel/E&amp;O) insurance carried from launch; a published corrections policy with a defined response protocol (see Risk Analysis) that demonstrates good faith and mitigates damages; and editorial practices — primary-document sourcing, pre-publication review of accusatory claims, and the conflict-of-interest firewall — that reduce the probability of a claim arising at all. The Alaska Landmine's current defamation litigation is a live demonstration of why this layer is funded before launch rather than after the first demand letter.</w:t>
      </w:r>
    </w:p>
    <w:p>
      <w:pPr>
        <w:pStyle w:val="Heading1"/>
        <w:spacing w:after="160" w:before="400"/>
      </w:pPr>
      <w:r>
        <w:rPr>
          <w:rFonts w:ascii="Cambria" w:cs="Cambria" w:eastAsia="Cambria" w:hAnsi="Cambria"/>
          <w:b/>
          <w:bCs/>
          <w:color w:val="0E2A47"/>
          <w:sz w:val="32"/>
          <w:szCs w:val="32"/>
        </w:rPr>
        <w:t xml:space="preserve">Technology Stack</w:t>
      </w:r>
    </w:p>
    <w:p>
      <w:pPr>
        <w:spacing w:after="140" w:line="276"/>
      </w:pPr>
      <w:r>
        <w:rPr>
          <w:rFonts w:ascii="Calibri" w:cs="Calibri" w:eastAsia="Calibri" w:hAnsi="Calibri"/>
          <w:color w:val="16181D"/>
          <w:sz w:val="22"/>
          <w:szCs w:val="22"/>
        </w:rPr>
        <w:t xml:space="preserve">The Daily Alaska's equivalent of a supply chain is its platform stack. The governing decision: the production site is built in Lovable — the same React + Tailwind + shadcn/ui environment as the design prototypes — with Supabase (Postgres, Auth, Storage, Edge Functions) as the backend. The winning design prototype is promoted to production, not rebuilt. The full architecture, including the first-party advertising server, is specified in the accompanying Ad Stack Technical Specification; this section covers vendors, costs, and continuity.</w:t>
      </w:r>
    </w:p>
    <w:tbl>
      <w:tblPr>
        <w:tblW w:type="dxa" w:w="9960"/>
        <w:tblBorders>
          <w:top w:val="single" w:color="auto" w:sz="4"/>
          <w:left w:val="single" w:color="auto" w:sz="4"/>
          <w:bottom w:val="single" w:color="auto" w:sz="4"/>
          <w:right w:val="single" w:color="auto" w:sz="4"/>
          <w:insideH w:val="single" w:color="auto" w:sz="4"/>
          <w:insideV w:val="single" w:color="auto" w:sz="4"/>
        </w:tblBorders>
      </w:tblPr>
      <w:tblGrid>
        <w:gridCol w:w="2100"/>
        <w:gridCol w:w="2900"/>
        <w:gridCol w:w="1500"/>
        <w:gridCol w:w="3460"/>
      </w:tblGrid>
      <w:tr>
        <w:trPr>
          <w:tblHeader/>
        </w:trPr>
        <w:tc>
          <w:tcPr>
            <w:tcW w:type="dxa" w:w="21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Component</w:t>
            </w:r>
          </w:p>
        </w:tc>
        <w:tc>
          <w:tcPr>
            <w:tcW w:type="dxa" w:w="29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Vendor / product</w:t>
            </w:r>
          </w:p>
        </w:tc>
        <w:tc>
          <w:tcPr>
            <w:tcW w:type="dxa" w:w="15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Monthly cost</w:t>
            </w:r>
          </w:p>
        </w:tc>
        <w:tc>
          <w:tcPr>
            <w:tcW w:type="dxa" w:w="346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Role</w:t>
            </w:r>
          </w:p>
        </w:tc>
      </w:tr>
      <w:tr>
        <w:tc>
          <w:tcPr>
            <w:tcW w:type="dxa" w:w="21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Site + hosting</w:t>
            </w:r>
          </w:p>
        </w:tc>
        <w:tc>
          <w:tcPr>
            <w:tcW w:type="dxa" w:w="2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Lovable (React, Tailwind, shadcn/ui)</w:t>
            </w:r>
          </w:p>
        </w:tc>
        <w:tc>
          <w:tcPr>
            <w:tcW w:type="dxa" w:w="15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~$25</w:t>
            </w:r>
          </w:p>
        </w:tc>
        <w:tc>
          <w:tcPr>
            <w:tcW w:type="dxa" w:w="34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Front end, hosting, CDN, iteration tooling</w:t>
            </w:r>
          </w:p>
        </w:tc>
      </w:tr>
      <w:tr>
        <w:tc>
          <w:tcPr>
            <w:tcW w:type="dxa" w:w="21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Backend</w:t>
            </w:r>
          </w:p>
        </w:tc>
        <w:tc>
          <w:tcPr>
            <w:tcW w:type="dxa" w:w="2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Supabase (Postgres, Auth, Storage, Edge Functions)</w:t>
            </w:r>
          </w:p>
        </w:tc>
        <w:tc>
          <w:tcPr>
            <w:tcW w:type="dxa" w:w="15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$0–$25</w:t>
            </w:r>
          </w:p>
        </w:tc>
        <w:tc>
          <w:tcPr>
            <w:tcW w:type="dxa" w:w="34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Content, events, trackers, ad server, admin auth</w:t>
            </w:r>
          </w:p>
        </w:tc>
      </w:tr>
      <w:tr>
        <w:tc>
          <w:tcPr>
            <w:tcW w:type="dxa" w:w="21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Email</w:t>
            </w:r>
          </w:p>
        </w:tc>
        <w:tc>
          <w:tcPr>
            <w:tcW w:type="dxa" w:w="2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beehiiv</w:t>
            </w:r>
          </w:p>
        </w:tc>
        <w:tc>
          <w:tcPr>
            <w:tcW w:type="dxa" w:w="15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$0 to 2,500 subs</w:t>
            </w:r>
          </w:p>
        </w:tc>
        <w:tc>
          <w:tcPr>
            <w:tcW w:type="dxa" w:w="34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Daily newsletter, referral program, sponsor slots</w:t>
            </w:r>
          </w:p>
        </w:tc>
      </w:tr>
      <w:tr>
        <w:tc>
          <w:tcPr>
            <w:tcW w:type="dxa" w:w="21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Programmatic ads</w:t>
            </w:r>
          </w:p>
        </w:tc>
        <w:tc>
          <w:tcPr>
            <w:tcW w:type="dxa" w:w="2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Google AdSense → Ezoic/Mediavine/Raptive</w:t>
            </w:r>
          </w:p>
        </w:tc>
        <w:tc>
          <w:tcPr>
            <w:tcW w:type="dxa" w:w="15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$0 (rev share)</w:t>
            </w:r>
          </w:p>
        </w:tc>
        <w:tc>
          <w:tcPr>
            <w:tcW w:type="dxa" w:w="34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Fills unsold inventory; upgrade path at 50k sessions</w:t>
            </w:r>
          </w:p>
        </w:tc>
      </w:tr>
      <w:tr>
        <w:tc>
          <w:tcPr>
            <w:tcW w:type="dxa" w:w="21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Analytics</w:t>
            </w:r>
          </w:p>
        </w:tc>
        <w:tc>
          <w:tcPr>
            <w:tcW w:type="dxa" w:w="2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Plausible or GA4</w:t>
            </w:r>
          </w:p>
        </w:tc>
        <w:tc>
          <w:tcPr>
            <w:tcW w:type="dxa" w:w="15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$0–$9</w:t>
            </w:r>
          </w:p>
        </w:tc>
        <w:tc>
          <w:tcPr>
            <w:tcW w:type="dxa" w:w="34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Traffic and funnel measurement</w:t>
            </w:r>
          </w:p>
        </w:tc>
      </w:tr>
      <w:tr>
        <w:tc>
          <w:tcPr>
            <w:tcW w:type="dxa" w:w="21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Domains</w:t>
            </w:r>
          </w:p>
        </w:tc>
        <w:tc>
          <w:tcPr>
            <w:tcW w:type="dxa" w:w="2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thedailyalaska.com + dailyalaska.com</w:t>
            </w:r>
          </w:p>
        </w:tc>
        <w:tc>
          <w:tcPr>
            <w:tcW w:type="dxa" w:w="15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~$3 amortized</w:t>
            </w:r>
          </w:p>
        </w:tc>
        <w:tc>
          <w:tcPr>
            <w:tcW w:type="dxa" w:w="34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Brand protection and redirect</w:t>
            </w:r>
          </w:p>
        </w:tc>
      </w:tr>
    </w:tbl>
    <w:p>
      <w:pPr>
        <w:spacing w:after="120"/>
      </w:pPr>
    </w:p>
    <w:p>
      <w:pPr>
        <w:pStyle w:val="Heading2"/>
        <w:spacing w:after="120" w:before="280"/>
      </w:pPr>
      <w:r>
        <w:rPr>
          <w:rFonts w:ascii="Cambria" w:cs="Cambria" w:eastAsia="Cambria" w:hAnsi="Cambria"/>
          <w:b/>
          <w:bCs/>
          <w:color w:val="1E8A7E"/>
          <w:sz w:val="26"/>
          <w:szCs w:val="26"/>
        </w:rPr>
        <w:t xml:space="preserve">Continuity and portability</w:t>
      </w:r>
    </w:p>
    <w:p>
      <w:pPr>
        <w:pStyle w:val="ListParagraph"/>
        <w:numPr>
          <w:ilvl w:val="0"/>
          <w:numId w:val="2"/>
        </w:numPr>
        <w:spacing w:after="80" w:line="276"/>
      </w:pPr>
      <w:r>
        <w:rPr>
          <w:rFonts w:ascii="Calibri" w:cs="Calibri" w:eastAsia="Calibri" w:hAnsi="Calibri"/>
          <w:b/>
          <w:bCs/>
          <w:color w:val="16181D"/>
          <w:sz w:val="22"/>
          <w:szCs w:val="22"/>
        </w:rPr>
        <w:t xml:space="preserve">Data portability: </w:t>
      </w:r>
      <w:r>
        <w:rPr>
          <w:rFonts w:ascii="Calibri" w:cs="Calibri" w:eastAsia="Calibri" w:hAnsi="Calibri"/>
          <w:color w:val="16181D"/>
          <w:sz w:val="22"/>
          <w:szCs w:val="22"/>
        </w:rPr>
        <w:t xml:space="preserve">All content, events, metrics, and advertising data live in standard Postgres. If the company ever outgrows Lovable's front end (for example, to server-side rendering in Next.js for SEO scale), the content model ports unchanged. No proprietary CMS lock-in exists anywhere in the stack.</w:t>
      </w:r>
    </w:p>
    <w:p>
      <w:pPr>
        <w:pStyle w:val="ListParagraph"/>
        <w:numPr>
          <w:ilvl w:val="0"/>
          <w:numId w:val="2"/>
        </w:numPr>
        <w:spacing w:after="80" w:line="276"/>
      </w:pPr>
      <w:r>
        <w:rPr>
          <w:rFonts w:ascii="Calibri" w:cs="Calibri" w:eastAsia="Calibri" w:hAnsi="Calibri"/>
          <w:b/>
          <w:bCs/>
          <w:color w:val="16181D"/>
          <w:sz w:val="22"/>
          <w:szCs w:val="22"/>
        </w:rPr>
        <w:t xml:space="preserve">Vendor redundancy: </w:t>
      </w:r>
      <w:r>
        <w:rPr>
          <w:rFonts w:ascii="Calibri" w:cs="Calibri" w:eastAsia="Calibri" w:hAnsi="Calibri"/>
          <w:color w:val="16181D"/>
          <w:sz w:val="22"/>
          <w:szCs w:val="22"/>
        </w:rPr>
        <w:t xml:space="preserve">Each layer has a named fallback: Vercel/Netlify for hosting, any managed Postgres for Supabase, Mailchimp/Kit for beehiiv, and the programmatic waterfall is designed so ad networks are swappable by configuration. The first-party ad server — where the direct-sold money lives — is the company's own code and data.</w:t>
      </w:r>
    </w:p>
    <w:p>
      <w:pPr>
        <w:pStyle w:val="ListParagraph"/>
        <w:numPr>
          <w:ilvl w:val="0"/>
          <w:numId w:val="2"/>
        </w:numPr>
        <w:spacing w:after="80" w:line="276"/>
      </w:pPr>
      <w:r>
        <w:rPr>
          <w:rFonts w:ascii="Calibri" w:cs="Calibri" w:eastAsia="Calibri" w:hAnsi="Calibri"/>
          <w:b/>
          <w:bCs/>
          <w:color w:val="16181D"/>
          <w:sz w:val="22"/>
          <w:szCs w:val="22"/>
        </w:rPr>
        <w:t xml:space="preserve">Scale economics: </w:t>
      </w:r>
      <w:r>
        <w:rPr>
          <w:rFonts w:ascii="Calibri" w:cs="Calibri" w:eastAsia="Calibri" w:hAnsi="Calibri"/>
          <w:color w:val="16181D"/>
          <w:sz w:val="22"/>
          <w:szCs w:val="22"/>
        </w:rPr>
        <w:t xml:space="preserve">The only per-pageview compute is the ad-serving edge function, comfortably inside included quotas at hundreds of thousands of monthly pageviews. The cost curve from 10,000 to 500,000 monthly pageviews is essentially flat — approximately $50–$75 per month of infrastructure — which is what makes the shoestring budget durable rather than merely initial.</w:t>
      </w:r>
    </w:p>
    <w:p>
      <w:pPr>
        <w:pStyle w:val="ListParagraph"/>
        <w:numPr>
          <w:ilvl w:val="0"/>
          <w:numId w:val="2"/>
        </w:numPr>
        <w:spacing w:after="80" w:line="276"/>
      </w:pPr>
      <w:r>
        <w:rPr>
          <w:rFonts w:ascii="Calibri" w:cs="Calibri" w:eastAsia="Calibri" w:hAnsi="Calibri"/>
          <w:b/>
          <w:bCs/>
          <w:color w:val="16181D"/>
          <w:sz w:val="22"/>
          <w:szCs w:val="22"/>
        </w:rPr>
        <w:t xml:space="preserve">Backups and access: </w:t>
      </w:r>
      <w:r>
        <w:rPr>
          <w:rFonts w:ascii="Calibri" w:cs="Calibri" w:eastAsia="Calibri" w:hAnsi="Calibri"/>
          <w:color w:val="16181D"/>
          <w:sz w:val="22"/>
          <w:szCs w:val="22"/>
        </w:rPr>
        <w:t xml:space="preserve">Automated database backups; both members hold admin credentials in a shared vault; the shared revenue dashboard reads from the same production data, so financial reporting cannot drift from reality.</w:t>
      </w:r>
    </w:p>
    <w:p>
      <w:pPr>
        <w:pStyle w:val="Heading1"/>
        <w:spacing w:after="160" w:before="400"/>
      </w:pPr>
      <w:r>
        <w:rPr>
          <w:rFonts w:ascii="Cambria" w:cs="Cambria" w:eastAsia="Cambria" w:hAnsi="Cambria"/>
          <w:b/>
          <w:bCs/>
          <w:color w:val="0E2A47"/>
          <w:sz w:val="32"/>
          <w:szCs w:val="32"/>
        </w:rPr>
        <w:t xml:space="preserve">Goals and Milestones</w:t>
      </w:r>
    </w:p>
    <w:tbl>
      <w:tblPr>
        <w:tblW w:type="dxa" w:w="9960"/>
        <w:tblBorders>
          <w:top w:val="single" w:color="auto" w:sz="4"/>
          <w:left w:val="single" w:color="auto" w:sz="4"/>
          <w:bottom w:val="single" w:color="auto" w:sz="4"/>
          <w:right w:val="single" w:color="auto" w:sz="4"/>
          <w:insideH w:val="single" w:color="auto" w:sz="4"/>
          <w:insideV w:val="single" w:color="auto" w:sz="4"/>
        </w:tblBorders>
      </w:tblPr>
      <w:tblGrid>
        <w:gridCol w:w="1700"/>
        <w:gridCol w:w="4700"/>
        <w:gridCol w:w="3560"/>
      </w:tblGrid>
      <w:tr>
        <w:trPr>
          <w:tblHeader/>
        </w:trPr>
        <w:tc>
          <w:tcPr>
            <w:tcW w:type="dxa" w:w="17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Horizon</w:t>
            </w:r>
          </w:p>
        </w:tc>
        <w:tc>
          <w:tcPr>
            <w:tcW w:type="dxa" w:w="47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Milestones</w:t>
            </w:r>
          </w:p>
        </w:tc>
        <w:tc>
          <w:tcPr>
            <w:tcW w:type="dxa" w:w="356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Success metrics</w:t>
            </w:r>
          </w:p>
        </w:tc>
      </w:tr>
      <w:tr>
        <w:tc>
          <w:tcPr>
            <w:tcW w:type="dxa" w:w="17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Days 0–2</w:t>
            </w:r>
          </w:p>
        </w:tc>
        <w:tc>
          <w:tcPr>
            <w:tcW w:type="dxa" w:w="47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MOU signed; LLC filed same day; EIN; bank account; registered agent + business mail engaged; dailyalaska.com secured; insurance quotes requested (audience analytics audit: complete — see Appendix C)</w:t>
            </w:r>
          </w:p>
        </w:tc>
        <w:tc>
          <w:tcPr>
            <w:tcW w:type="dxa" w:w="35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Entity exists; audience baseline documented (Appendix C)</w:t>
            </w:r>
          </w:p>
        </w:tc>
      </w:tr>
      <w:tr>
        <w:tc>
          <w:tcPr>
            <w:tcW w:type="dxa" w:w="17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Days 1–14</w:t>
            </w:r>
          </w:p>
        </w:tc>
        <w:tc>
          <w:tcPr>
            <w:tcW w:type="dxa" w:w="47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Lovable build sprint per the Ad Stack Technical Specification: site, admin console, first-party ad server, political-ad archive, events calendar, newsletter, trackers, SEO layer, 30 seed articles; AdSense application submitted day 8</w:t>
            </w:r>
          </w:p>
        </w:tc>
        <w:tc>
          <w:tcPr>
            <w:tcW w:type="dxa" w:w="35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Site live in staging by day 12; Lighthouse mobile ≥ 90; ad slots serving test campaigns</w:t>
            </w:r>
          </w:p>
        </w:tc>
      </w:tr>
      <w:tr>
        <w:tc>
          <w:tcPr>
            <w:tcW w:type="dxa" w:w="17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 Sept 8 (launch)</w:t>
            </w:r>
          </w:p>
        </w:tc>
        <w:tc>
          <w:tcPr>
            <w:tcW w:type="dxa" w:w="47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Public launch with election-window sales sprint; political outreach list (surviving campaigns, ballot committees, IE groups) worked daily</w:t>
            </w:r>
          </w:p>
        </w:tc>
        <w:tc>
          <w:tcPr>
            <w:tcW w:type="dxa" w:w="35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First political placements sold within 2 weeks; 1,500 newsletter subscribers by day 30</w:t>
            </w:r>
          </w:p>
        </w:tc>
      </w:tr>
      <w:tr>
        <w:tc>
          <w:tcPr>
            <w:tcW w:type="dxa" w:w="17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Sept 8 – Nov 3</w:t>
            </w:r>
          </w:p>
        </w:tc>
        <w:tc>
          <w:tcPr>
            <w:tcW w:type="dxa" w:w="47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Daily election, energy, and housing coverage; every social post drives to site</w:t>
            </w:r>
          </w:p>
        </w:tc>
        <w:tc>
          <w:tcPr>
            <w:tcW w:type="dxa" w:w="35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$6,000–$15,000 cumulative political revenue; 25,000+ monthly pageviews by mid-October</w:t>
            </w:r>
          </w:p>
        </w:tc>
      </w:tr>
      <w:tr>
        <w:tc>
          <w:tcPr>
            <w:tcW w:type="dxa" w:w="17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Months 2–6</w:t>
            </w:r>
          </w:p>
        </w:tc>
        <w:tc>
          <w:tcPr>
            <w:tcW w:type="dxa" w:w="47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Anchor advertiser sales cycle; sponsored-content pipeline; events revenue on; AdSense live, mid-tier network application at 50k sessions</w:t>
            </w:r>
          </w:p>
        </w:tc>
        <w:tc>
          <w:tcPr>
            <w:tcW w:type="dxa" w:w="35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6–10 anchor advertisers at $400–$1,500/mo; 40,000–80,000 monthly pageviews; 3,500+ subscribers</w:t>
            </w:r>
          </w:p>
        </w:tc>
      </w:tr>
      <w:tr>
        <w:tc>
          <w:tcPr>
            <w:tcW w:type="dxa" w:w="17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Months 6–15</w:t>
            </w:r>
          </w:p>
        </w:tc>
        <w:tc>
          <w:tcPr>
            <w:tcW w:type="dxa" w:w="47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Alaska Housing &amp; Energy Brief launched; podcast with title sponsor; first own-brand event (housing summit or candidate forum in the 2027 municipal cycle)</w:t>
            </w:r>
          </w:p>
        </w:tc>
        <w:tc>
          <w:tcPr>
            <w:tcW w:type="dxa" w:w="35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 Brief subscribers ($15k–$30k/yr run-rate); year-one revenue ≈ $73,700 (base case)</w:t>
            </w:r>
          </w:p>
        </w:tc>
      </w:tr>
      <w:tr>
        <w:tc>
          <w:tcPr>
            <w:tcW w:type="dxa" w:w="17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Years 2–3</w:t>
            </w:r>
          </w:p>
        </w:tc>
        <w:tc>
          <w:tcPr>
            <w:tcW w:type="dxa" w:w="47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Compounding: direct book renewal ≥ 70%; Brief to 100–150 subscribers; 2028 election cycle captured at scale</w:t>
            </w:r>
          </w:p>
        </w:tc>
        <w:tc>
          <w:tcPr>
            <w:tcW w:type="dxa" w:w="35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Year-two revenue ≈ $135,000; year-three ≈ $201,000 (base case)</w:t>
            </w:r>
          </w:p>
        </w:tc>
      </w:tr>
    </w:tbl>
    <w:p>
      <w:pPr>
        <w:spacing w:after="120"/>
      </w:pPr>
    </w:p>
    <w:p>
      <w:pPr>
        <w:pStyle w:val="Heading1"/>
        <w:spacing w:after="160" w:before="400"/>
      </w:pPr>
      <w:r>
        <w:rPr>
          <w:rFonts w:ascii="Cambria" w:cs="Cambria" w:eastAsia="Cambria" w:hAnsi="Cambria"/>
          <w:b/>
          <w:bCs/>
          <w:color w:val="0E2A47"/>
          <w:sz w:val="32"/>
          <w:szCs w:val="32"/>
        </w:rPr>
        <w:t xml:space="preserve">Value Proposition</w:t>
      </w:r>
    </w:p>
    <w:p>
      <w:pPr>
        <w:pStyle w:val="Heading2"/>
        <w:spacing w:after="120" w:before="280"/>
      </w:pPr>
      <w:r>
        <w:rPr>
          <w:rFonts w:ascii="Cambria" w:cs="Cambria" w:eastAsia="Cambria" w:hAnsi="Cambria"/>
          <w:b/>
          <w:bCs/>
          <w:color w:val="1E8A7E"/>
          <w:sz w:val="26"/>
          <w:szCs w:val="26"/>
        </w:rPr>
        <w:t xml:space="preserve">For readers</w:t>
      </w:r>
    </w:p>
    <w:p>
      <w:pPr>
        <w:spacing w:after="140" w:line="276"/>
      </w:pPr>
      <w:r>
        <w:rPr>
          <w:rFonts w:ascii="Calibri" w:cs="Calibri" w:eastAsia="Calibri" w:hAnsi="Calibri"/>
          <w:color w:val="16181D"/>
          <w:sz w:val="22"/>
          <w:szCs w:val="22"/>
        </w:rPr>
        <w:t xml:space="preserve">Alaska's news consumers face a paywalled legacy paper, broadcast formats built for appointment viewing, a nonprofit focused on the statehouse, and partisan outlets that require a loyalty test. The Daily Alaska offers the missing product: free, mobile-first, neutral news about the two subjects that dominate Alaskan household budgets — housing and energy — plus politics and community life, in both 60-second video and full-article form, with live data trackers that answer questions ('what are rents doing?', 'is the gas supply okay?') even when no story is published. The newsletter compresses it into a two-minute morning read.</w:t>
      </w:r>
    </w:p>
    <w:p>
      <w:pPr>
        <w:pStyle w:val="Heading2"/>
        <w:spacing w:after="120" w:before="280"/>
      </w:pPr>
      <w:r>
        <w:rPr>
          <w:rFonts w:ascii="Cambria" w:cs="Cambria" w:eastAsia="Cambria" w:hAnsi="Cambria"/>
          <w:b/>
          <w:bCs/>
          <w:color w:val="1E8A7E"/>
          <w:sz w:val="26"/>
          <w:szCs w:val="26"/>
        </w:rPr>
        <w:t xml:space="preserve">For advertisers</w:t>
      </w:r>
    </w:p>
    <w:p>
      <w:pPr>
        <w:spacing w:after="140" w:line="276"/>
      </w:pPr>
      <w:r>
        <w:rPr>
          <w:rFonts w:ascii="Calibri" w:cs="Calibri" w:eastAsia="Calibri" w:hAnsi="Calibri"/>
          <w:color w:val="16181D"/>
          <w:sz w:val="22"/>
          <w:szCs w:val="22"/>
        </w:rPr>
        <w:t xml:space="preserve">Local advertisers currently choose between expensive legacy media, brand-unsafe or partisan independents, and social platforms that commingle their message with everything else on earth. The Daily Alaska offers placement inside neutral, brand-safe, Alaska-specific content — with the audience categories most valuable to the state's largest advertiser segments (housing finance, real estate, construction, banking, energy) reading the verticals built precisely for them. Every direct placement is flat-rate, viewability-counted, and reported monthly from the same data the owners use, and the outlet's published ethics infrastructure gives risk-averse advertisers (credit unions, utilities, healthcare) the cover their marketing committees need.</w:t>
      </w:r>
    </w:p>
    <w:p>
      <w:pPr>
        <w:pStyle w:val="Heading2"/>
        <w:spacing w:after="120" w:before="280"/>
      </w:pPr>
      <w:r>
        <w:rPr>
          <w:rFonts w:ascii="Cambria" w:cs="Cambria" w:eastAsia="Cambria" w:hAnsi="Cambria"/>
          <w:b/>
          <w:bCs/>
          <w:color w:val="1E8A7E"/>
          <w:sz w:val="26"/>
          <w:szCs w:val="26"/>
        </w:rPr>
        <w:t xml:space="preserve">For the community</w:t>
      </w:r>
    </w:p>
    <w:p>
      <w:pPr>
        <w:spacing w:after="140" w:line="276"/>
      </w:pPr>
      <w:r>
        <w:rPr>
          <w:rFonts w:ascii="Calibri" w:cs="Calibri" w:eastAsia="Calibri" w:hAnsi="Calibri"/>
          <w:color w:val="16181D"/>
          <w:sz w:val="22"/>
          <w:szCs w:val="22"/>
        </w:rPr>
        <w:t xml:space="preserve">The free events calendar, the public political-ad archive, the corrections policy, and the primary-document reporting practice are civic goods that cost the company little and compound its standing. They are also commercially rational: the calendar creates daily habit and sellable inventory; the archive converts compliance into reputation; and the trackers make The Daily Alaska the citable source of record for Alaska housing and energy data — the position from which the paid Brief is sold.</w:t>
      </w:r>
    </w:p>
    <w:p>
      <w:pPr>
        <w:pStyle w:val="Heading1"/>
        <w:spacing w:after="160" w:before="400"/>
      </w:pPr>
      <w:r>
        <w:rPr>
          <w:rFonts w:ascii="Cambria" w:cs="Cambria" w:eastAsia="Cambria" w:hAnsi="Cambria"/>
          <w:b/>
          <w:bCs/>
          <w:color w:val="0E2A47"/>
          <w:sz w:val="32"/>
          <w:szCs w:val="32"/>
        </w:rPr>
        <w:t xml:space="preserve">Market Analysis</w:t>
      </w:r>
    </w:p>
    <w:p>
      <w:pPr>
        <w:pStyle w:val="Heading2"/>
        <w:spacing w:after="120" w:before="280"/>
      </w:pPr>
      <w:r>
        <w:rPr>
          <w:rFonts w:ascii="Cambria" w:cs="Cambria" w:eastAsia="Cambria" w:hAnsi="Cambria"/>
          <w:b/>
          <w:bCs/>
          <w:color w:val="1E8A7E"/>
          <w:sz w:val="26"/>
          <w:szCs w:val="26"/>
        </w:rPr>
        <w:t xml:space="preserve">Industry context</w:t>
      </w:r>
    </w:p>
    <w:p>
      <w:pPr>
        <w:spacing w:after="140" w:line="276"/>
      </w:pPr>
      <w:r>
        <w:rPr>
          <w:rFonts w:ascii="Calibri" w:cs="Calibri" w:eastAsia="Calibri" w:hAnsi="Calibri"/>
          <w:color w:val="16181D"/>
          <w:sz w:val="22"/>
          <w:szCs w:val="22"/>
        </w:rPr>
        <w:t xml:space="preserve">Local news economics have inverted over two decades: print advertising collapsed, legacy newsrooms shrank behind paywalls, and audience attention moved to platforms. But the same shift created the conditions this plan exploits. Digital advertising is now the default medium for local businesses; political campaigns have moved decisively into digital placement; and the production cost of a credible news operation has fallen from millions (presses, towers, staffs) to hundreds of dollars a month (this plan's entire fixed cost base). In Alaska specifically, the retreat of legacy media created a proven lane for lean independents — Must Read Alaska and the Alaska Landmine both built six-figure-revenue operations on essentially zero fixed infrastructure — while leaving the politically neutral, commercially funded position unoccupied.</w:t>
      </w:r>
    </w:p>
    <w:p>
      <w:pPr>
        <w:spacing w:after="140" w:line="276"/>
      </w:pPr>
      <w:r>
        <w:rPr>
          <w:rFonts w:ascii="Calibri" w:cs="Calibri" w:eastAsia="Calibri" w:hAnsi="Calibri"/>
          <w:color w:val="16181D"/>
          <w:sz w:val="22"/>
          <w:szCs w:val="22"/>
        </w:rPr>
        <w:t xml:space="preserve">Two Alaska-specific conditions sharpen the opportunity in 2026–2027. First, the Cook Inlet natural gas deliverability crisis: Enstar's warnings of winter shortfalls, consumer price increases near 30%, rolling-blackout planning scenarios, utility rate filings, and the $55 billion Alaska LNG debate guarantee that energy remains front-page material for years, not quarters. Second, the statewide housing shortage keeps rents, prices, construction activity, and land-use policy permanently in the news cycle. These are not beats the company hopes become important; they are the dominant stories in Alaskan life, and no incumbent owns them.</w:t>
      </w:r>
    </w:p>
    <w:p>
      <w:pPr>
        <w:pStyle w:val="Heading2"/>
        <w:spacing w:after="120" w:before="280"/>
      </w:pPr>
      <w:r>
        <w:rPr>
          <w:rFonts w:ascii="Cambria" w:cs="Cambria" w:eastAsia="Cambria" w:hAnsi="Cambria"/>
          <w:b/>
          <w:bCs/>
          <w:color w:val="1E8A7E"/>
          <w:sz w:val="26"/>
          <w:szCs w:val="26"/>
        </w:rPr>
        <w:t xml:space="preserve">Direct competitors</w:t>
      </w:r>
    </w:p>
    <w:p>
      <w:pPr>
        <w:spacing w:after="140" w:line="276"/>
      </w:pPr>
      <w:r>
        <w:rPr>
          <w:rFonts w:ascii="Calibri" w:cs="Calibri" w:eastAsia="Calibri" w:hAnsi="Calibri"/>
          <w:b/>
          <w:bCs/>
          <w:color w:val="16181D"/>
          <w:sz w:val="22"/>
          <w:szCs w:val="22"/>
        </w:rPr>
        <w:t xml:space="preserve">Alaska Beacon (nonprofit, statehouse-focused). </w:t>
      </w:r>
      <w:r>
        <w:rPr>
          <w:rFonts w:ascii="Calibri" w:cs="Calibri" w:eastAsia="Calibri" w:hAnsi="Calibri"/>
          <w:color w:val="16181D"/>
          <w:sz w:val="22"/>
          <w:szCs w:val="22"/>
        </w:rPr>
        <w:t xml:space="preserve">Launched in 2022 as the 27th outlet of the States Newsroom network, the Beacon fields a professional reporting staff covering state government, funded entirely by philanthropy — no advertising, no subscriptions. It is the tone comparable: nonpartisan, sober, credible. It is not a commercial competitor at all, which is precisely its significance for this plan: the only neutral outlet in the market has structurally exited the advertising business, leaving neutral commercial inventory with no supplier. The Beacon's weaknesses as an audience competitor are a narrow statehouse beat, an institutional voice, no consumer verticals, no events utility, and negligible short-form video presence.</w:t>
      </w:r>
    </w:p>
    <w:p>
      <w:pPr>
        <w:spacing w:after="140" w:line="276"/>
      </w:pPr>
      <w:r>
        <w:rPr>
          <w:rFonts w:ascii="Calibri" w:cs="Calibri" w:eastAsia="Calibri" w:hAnsi="Calibri"/>
          <w:b/>
          <w:bCs/>
          <w:color w:val="16181D"/>
          <w:sz w:val="22"/>
          <w:szCs w:val="22"/>
        </w:rPr>
        <w:t xml:space="preserve">Must Read Alaska (conservative, newsletter-led). </w:t>
      </w:r>
      <w:r>
        <w:rPr>
          <w:rFonts w:ascii="Calibri" w:cs="Calibri" w:eastAsia="Calibri" w:hAnsi="Calibri"/>
          <w:color w:val="16181D"/>
          <w:sz w:val="22"/>
          <w:szCs w:val="22"/>
        </w:rPr>
        <w:t xml:space="preserve">Suzanne Downing's operation is the reach comparable: it self-reports pageview milestones in the tens of millions cumulatively and claims the state's most-read political newsletter, monetized through donations and advertising on a Substack-era cost base. Its structural ceiling is its open partisanship — roughly half the market discounts it on sight, and brand-safety-conscious advertisers (banks, credit unions, utilities, healthcare) largely cannot touch it. Documented pay-for-coverage controversies further cap its credibility. MRAK proves the audience scale available to a lean Alaska independent with a strong newsletter; The Daily Alaska pursues that scale without the partisan discount.</w:t>
      </w:r>
    </w:p>
    <w:p>
      <w:pPr>
        <w:spacing w:after="140" w:line="276"/>
      </w:pPr>
      <w:r>
        <w:rPr>
          <w:rFonts w:ascii="Calibri" w:cs="Calibri" w:eastAsia="Calibri" w:hAnsi="Calibri"/>
          <w:b/>
          <w:bCs/>
          <w:color w:val="16181D"/>
          <w:sz w:val="22"/>
          <w:szCs w:val="22"/>
        </w:rPr>
        <w:t xml:space="preserve">Alaska Landmine (irreverent insider). </w:t>
      </w:r>
      <w:r>
        <w:rPr>
          <w:rFonts w:ascii="Calibri" w:cs="Calibri" w:eastAsia="Calibri" w:hAnsi="Calibri"/>
          <w:color w:val="16181D"/>
          <w:sz w:val="22"/>
          <w:szCs w:val="22"/>
        </w:rPr>
        <w:t xml:space="preserve">Jeff Landfield's Landmine is the revenue-mix comparable: display advertising, reader subscriptions, a podcast, events, and — most instructively — the Alaska Political Report, a professional intelligence briefing priced at $1,299 per year that state-level lobbyists, associations, and government-affairs staff demonstrably pay for. The Landmine's constraints are tonal (gossip-adjacent voice that limits advertiser comfort), topical (political junkies, not household-budget issues), and legal (an active defamation suit brought by a state official). Its Political Report is direct evidence for this plan's phase-two product: Alaskan professionals pay four figures for niche intelligence, and no one publishes the housing-and-energy equivalent.</w:t>
      </w:r>
    </w:p>
    <w:p>
      <w:pPr>
        <w:pStyle w:val="Heading2"/>
        <w:spacing w:after="120" w:before="280"/>
      </w:pPr>
      <w:r>
        <w:rPr>
          <w:rFonts w:ascii="Cambria" w:cs="Cambria" w:eastAsia="Cambria" w:hAnsi="Cambria"/>
          <w:b/>
          <w:bCs/>
          <w:color w:val="1E8A7E"/>
          <w:sz w:val="26"/>
          <w:szCs w:val="26"/>
        </w:rPr>
        <w:t xml:space="preserve">Legacy and adjacent competitors</w:t>
      </w:r>
    </w:p>
    <w:p>
      <w:pPr>
        <w:spacing w:after="140" w:line="276"/>
      </w:pPr>
      <w:r>
        <w:rPr>
          <w:rFonts w:ascii="Calibri" w:cs="Calibri" w:eastAsia="Calibri" w:hAnsi="Calibri"/>
          <w:b/>
          <w:bCs/>
          <w:color w:val="16181D"/>
          <w:sz w:val="22"/>
          <w:szCs w:val="22"/>
        </w:rPr>
        <w:t xml:space="preserve">Anchorage Daily News</w:t>
      </w:r>
      <w:r>
        <w:rPr>
          <w:rFonts w:ascii="Calibri" w:cs="Calibri" w:eastAsia="Calibri" w:hAnsi="Calibri"/>
          <w:color w:val="16181D"/>
          <w:sz w:val="22"/>
          <w:szCs w:val="22"/>
        </w:rPr>
        <w:t xml:space="preserve"> remains the state's newsroom of record but sits behind a hard paywall, structurally ceding the free casual reader. </w:t>
      </w:r>
      <w:r>
        <w:rPr>
          <w:rFonts w:ascii="Calibri" w:cs="Calibri" w:eastAsia="Calibri" w:hAnsi="Calibri"/>
          <w:b/>
          <w:bCs/>
          <w:color w:val="16181D"/>
          <w:sz w:val="22"/>
          <w:szCs w:val="22"/>
        </w:rPr>
        <w:t xml:space="preserve">Alaska's News Source (KTUU/KYES) and Alaska Public Media</w:t>
      </w:r>
      <w:r>
        <w:rPr>
          <w:rFonts w:ascii="Calibri" w:cs="Calibri" w:eastAsia="Calibri" w:hAnsi="Calibri"/>
          <w:color w:val="16181D"/>
          <w:sz w:val="22"/>
          <w:szCs w:val="22"/>
        </w:rPr>
        <w:t xml:space="preserve"> hold broadcast audiences and strong websites but carry legacy cost structures, generalist beats, and weak native short-video operations — several of The Daily Alaska's most successful videos have been recaps of their reporting, evidence that distribution, not information, is the scarce asset. </w:t>
      </w:r>
      <w:r>
        <w:rPr>
          <w:rFonts w:ascii="Calibri" w:cs="Calibri" w:eastAsia="Calibri" w:hAnsi="Calibri"/>
          <w:b/>
          <w:bCs/>
          <w:color w:val="16181D"/>
          <w:sz w:val="22"/>
          <w:szCs w:val="22"/>
        </w:rPr>
        <w:t xml:space="preserve">The Alaska Watchman and other partisan digital outlets</w:t>
      </w:r>
      <w:r>
        <w:rPr>
          <w:rFonts w:ascii="Calibri" w:cs="Calibri" w:eastAsia="Calibri" w:hAnsi="Calibri"/>
          <w:color w:val="16181D"/>
          <w:sz w:val="22"/>
          <w:szCs w:val="22"/>
        </w:rPr>
        <w:t xml:space="preserve"> compete for the conservative audience MRAK already holds and reinforce, by contrast, the value of the neutral lane. </w:t>
      </w:r>
      <w:r>
        <w:rPr>
          <w:rFonts w:ascii="Calibri" w:cs="Calibri" w:eastAsia="Calibri" w:hAnsi="Calibri"/>
          <w:b/>
          <w:bCs/>
          <w:color w:val="16181D"/>
          <w:sz w:val="22"/>
          <w:szCs w:val="22"/>
        </w:rPr>
        <w:t xml:space="preserve">Facebook groups and Reddit</w:t>
      </w:r>
      <w:r>
        <w:rPr>
          <w:rFonts w:ascii="Calibri" w:cs="Calibri" w:eastAsia="Calibri" w:hAnsi="Calibri"/>
          <w:color w:val="16181D"/>
          <w:sz w:val="22"/>
          <w:szCs w:val="22"/>
        </w:rPr>
        <w:t xml:space="preserve"> are the true competitor for casual attention: unedited, unverified, and free. The Daily Alaska's answer is to live natively inside those feeds via short video while owning the verified layer those platforms cannot provide.</w:t>
      </w:r>
    </w:p>
    <w:p>
      <w:pPr>
        <w:pStyle w:val="Heading2"/>
        <w:spacing w:after="120" w:before="280"/>
      </w:pPr>
      <w:r>
        <w:rPr>
          <w:rFonts w:ascii="Cambria" w:cs="Cambria" w:eastAsia="Cambria" w:hAnsi="Cambria"/>
          <w:b/>
          <w:bCs/>
          <w:color w:val="1E8A7E"/>
          <w:sz w:val="26"/>
          <w:szCs w:val="26"/>
        </w:rPr>
        <w:t xml:space="preserve">Market opportunity analysis</w:t>
      </w:r>
    </w:p>
    <w:p>
      <w:pPr>
        <w:spacing w:after="140" w:line="276"/>
      </w:pPr>
      <w:r>
        <w:rPr>
          <w:rFonts w:ascii="Calibri" w:cs="Calibri" w:eastAsia="Calibri" w:hAnsi="Calibri"/>
          <w:color w:val="16181D"/>
          <w:sz w:val="22"/>
          <w:szCs w:val="22"/>
        </w:rPr>
        <w:t xml:space="preserve">The market is sized bottom-up from observable comparables rather than top-down percentages, with all figures as planning estimates:</w:t>
      </w:r>
    </w:p>
    <w:tbl>
      <w:tblPr>
        <w:tblW w:type="dxa" w:w="9960"/>
        <w:tblBorders>
          <w:top w:val="single" w:color="auto" w:sz="4"/>
          <w:left w:val="single" w:color="auto" w:sz="4"/>
          <w:bottom w:val="single" w:color="auto" w:sz="4"/>
          <w:right w:val="single" w:color="auto" w:sz="4"/>
          <w:insideH w:val="single" w:color="auto" w:sz="4"/>
          <w:insideV w:val="single" w:color="auto" w:sz="4"/>
        </w:tblBorders>
      </w:tblPr>
      <w:tblGrid>
        <w:gridCol w:w="1200"/>
        <w:gridCol w:w="3300"/>
        <w:gridCol w:w="2700"/>
        <w:gridCol w:w="2760"/>
      </w:tblGrid>
      <w:tr>
        <w:trPr>
          <w:tblHeader/>
        </w:trPr>
        <w:tc>
          <w:tcPr>
            <w:tcW w:type="dxa" w:w="12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Tier</w:t>
            </w:r>
          </w:p>
        </w:tc>
        <w:tc>
          <w:tcPr>
            <w:tcW w:type="dxa" w:w="33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Definition</w:t>
            </w:r>
          </w:p>
        </w:tc>
        <w:tc>
          <w:tcPr>
            <w:tcW w:type="dxa" w:w="27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Estimate</w:t>
            </w:r>
          </w:p>
        </w:tc>
        <w:tc>
          <w:tcPr>
            <w:tcW w:type="dxa" w:w="276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Method</w:t>
            </w:r>
          </w:p>
        </w:tc>
      </w:tr>
      <w:tr>
        <w:tc>
          <w:tcPr>
            <w:tcW w:type="dxa" w:w="1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TAM</w:t>
            </w:r>
          </w:p>
        </w:tc>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Alaska statewide digital advertising spend, all buyers</w:t>
            </w:r>
          </w:p>
        </w:tc>
        <w:tc>
          <w:tcPr>
            <w:tcW w:type="dxa" w:w="27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$100M–$200M/yr</w:t>
            </w:r>
          </w:p>
        </w:tc>
        <w:tc>
          <w:tcPr>
            <w:tcW w:type="dxa" w:w="27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National per-capita digital ad spend scaled to ~740k population, discounted for market maturity</w:t>
            </w:r>
          </w:p>
        </w:tc>
      </w:tr>
      <w:tr>
        <w:tc>
          <w:tcPr>
            <w:tcW w:type="dxa" w:w="1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SAM</w:t>
            </w:r>
          </w:p>
        </w:tc>
        <w:tc>
          <w:tcPr>
            <w:tcW w:type="dxa" w:w="3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Alaska local-news digital advertising, sponsorships, and political digital placement</w:t>
            </w:r>
          </w:p>
        </w:tc>
        <w:tc>
          <w:tcPr>
            <w:tcW w:type="dxa" w:w="27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$8M–$15M/yr; political digital surges in election years</w:t>
            </w:r>
          </w:p>
        </w:tc>
        <w:tc>
          <w:tcPr>
            <w:tcW w:type="dxa" w:w="27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Local-media ad share benchmarks; $10M+ observed 2026 primary spend across all media (APOC-reported)</w:t>
            </w:r>
          </w:p>
        </w:tc>
      </w:tr>
      <w:tr>
        <w:tc>
          <w:tcPr>
            <w:tcW w:type="dxa" w:w="1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SOM</w:t>
            </w:r>
          </w:p>
        </w:tc>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Revenue observably captured by lean independent Alaska outlets</w:t>
            </w:r>
          </w:p>
        </w:tc>
        <w:tc>
          <w:tcPr>
            <w:tcW w:type="dxa" w:w="27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$75k–$400k/yr per outlet</w:t>
            </w:r>
          </w:p>
        </w:tc>
        <w:tc>
          <w:tcPr>
            <w:tcW w:type="dxa" w:w="27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MRAK and Landmine visible operations: ad books, subscription products, events</w:t>
            </w:r>
          </w:p>
        </w:tc>
      </w:tr>
    </w:tbl>
    <w:p>
      <w:pPr>
        <w:spacing w:after="120"/>
      </w:pPr>
    </w:p>
    <w:p>
      <w:pPr>
        <w:spacing w:after="140" w:line="276"/>
      </w:pPr>
      <w:r>
        <w:rPr>
          <w:rFonts w:ascii="Calibri" w:cs="Calibri" w:eastAsia="Calibri" w:hAnsi="Calibri"/>
          <w:color w:val="16181D"/>
          <w:sz w:val="22"/>
          <w:szCs w:val="22"/>
        </w:rPr>
        <w:t xml:space="preserve">The base-case year-three target of approximately $201,000 sits in the middle of the observed SOM band — it requires The Daily Alaska to become one of Alaska's three or four commercially successful independents, not to invent a new market. The bull case is that the housing/energy verticals plus the B2B Brief push revenue per reader above what general-politics independents achieve, because the audience is organized around purchase decisions (mortgages, construction, energy costs) rather than opinions.</w:t>
      </w:r>
    </w:p>
    <w:p>
      <w:pPr>
        <w:pStyle w:val="Heading2"/>
        <w:spacing w:after="120" w:before="280"/>
      </w:pPr>
      <w:r>
        <w:rPr>
          <w:rFonts w:ascii="Cambria" w:cs="Cambria" w:eastAsia="Cambria" w:hAnsi="Cambria"/>
          <w:b/>
          <w:bCs/>
          <w:color w:val="1E8A7E"/>
          <w:sz w:val="26"/>
          <w:szCs w:val="26"/>
        </w:rPr>
        <w:t xml:space="preserve">Market segments and revenue potential</w:t>
      </w:r>
    </w:p>
    <w:p>
      <w:pPr>
        <w:spacing w:after="140" w:line="276"/>
      </w:pPr>
      <w:r>
        <w:rPr>
          <w:rFonts w:ascii="Calibri" w:cs="Calibri" w:eastAsia="Calibri" w:hAnsi="Calibri"/>
          <w:color w:val="16181D"/>
          <w:sz w:val="22"/>
          <w:szCs w:val="22"/>
        </w:rPr>
        <w:t xml:space="preserve">Advertiser demand segments, with observed budget behavior and three-year revenue potential for this outlet:</w:t>
      </w:r>
    </w:p>
    <w:p>
      <w:pPr>
        <w:spacing w:after="140" w:line="276"/>
      </w:pPr>
      <w:r>
        <w:rPr>
          <w:rFonts w:ascii="Calibri" w:cs="Calibri" w:eastAsia="Calibri" w:hAnsi="Calibri"/>
          <w:b/>
          <w:bCs/>
          <w:color w:val="16181D"/>
          <w:sz w:val="22"/>
          <w:szCs w:val="22"/>
        </w:rPr>
        <w:t xml:space="preserve">Housing finance and real estate. </w:t>
      </w:r>
      <w:r>
        <w:rPr>
          <w:rFonts w:ascii="Calibri" w:cs="Calibri" w:eastAsia="Calibri" w:hAnsi="Calibri"/>
          <w:color w:val="16181D"/>
          <w:sz w:val="22"/>
          <w:szCs w:val="22"/>
        </w:rPr>
        <w:t xml:space="preserve">Mortgage brokers, loan officers, realtors, and title companies are owner-operator buyers with monthly digital budgets of $300–$1,500, fast decision cycles (days, not committees), and an existential interest in reaching Alaskans thinking about housing — exactly who reads a Housing vertical. This is the anchor segment: 3–5 accounts at $400–$1,000 per month is the realistic year-one book, with annual segment potential of $25,000–$45,000 by year three. The Publisher's own mortgage brand participates as a disclosed rate-card sponsor, providing the first reference account.</w:t>
      </w:r>
    </w:p>
    <w:p>
      <w:pPr>
        <w:spacing w:after="140" w:line="276"/>
      </w:pPr>
      <w:r>
        <w:rPr>
          <w:rFonts w:ascii="Calibri" w:cs="Calibri" w:eastAsia="Calibri" w:hAnsi="Calibri"/>
          <w:b/>
          <w:bCs/>
          <w:color w:val="16181D"/>
          <w:sz w:val="22"/>
          <w:szCs w:val="22"/>
        </w:rPr>
        <w:t xml:space="preserve">Banks and credit unions. </w:t>
      </w:r>
      <w:r>
        <w:rPr>
          <w:rFonts w:ascii="Calibri" w:cs="Calibri" w:eastAsia="Calibri" w:hAnsi="Calibri"/>
          <w:color w:val="16181D"/>
          <w:sz w:val="22"/>
          <w:szCs w:val="22"/>
        </w:rPr>
        <w:t xml:space="preserve">Alaska's credit unions and community banks spend steadily on brand placement but route decisions through marketing directors and brand-safety review, with one-to-three-month cycles. The published ethics infrastructure and neutral tone are the unlock; the housing vertical is the natural placement. Segment potential: $15,000–$30,000 annually at maturity, typically as 6–12-month sponsorships.</w:t>
      </w:r>
    </w:p>
    <w:p>
      <w:pPr>
        <w:spacing w:after="140" w:line="276"/>
      </w:pPr>
      <w:r>
        <w:rPr>
          <w:rFonts w:ascii="Calibri" w:cs="Calibri" w:eastAsia="Calibri" w:hAnsi="Calibri"/>
          <w:b/>
          <w:bCs/>
          <w:color w:val="16181D"/>
          <w:sz w:val="22"/>
          <w:szCs w:val="22"/>
        </w:rPr>
        <w:t xml:space="preserve">Construction, trades, and development. </w:t>
      </w:r>
      <w:r>
        <w:rPr>
          <w:rFonts w:ascii="Calibri" w:cs="Calibri" w:eastAsia="Calibri" w:hAnsi="Calibri"/>
          <w:color w:val="16181D"/>
          <w:sz w:val="22"/>
          <w:szCs w:val="22"/>
        </w:rPr>
        <w:t xml:space="preserve">Builders, contractors, and suppliers buy seasonally (spring–fall) at $250–$1,000 per month and value being adjacent to development and housing-policy coverage. Decision-makers are owners; cycles are short. Segment potential: $10,000–$20,000 annually.</w:t>
      </w:r>
    </w:p>
    <w:p>
      <w:pPr>
        <w:spacing w:after="140" w:line="276"/>
      </w:pPr>
      <w:r>
        <w:rPr>
          <w:rFonts w:ascii="Calibri" w:cs="Calibri" w:eastAsia="Calibri" w:hAnsi="Calibri"/>
          <w:b/>
          <w:bCs/>
          <w:color w:val="16181D"/>
          <w:sz w:val="22"/>
          <w:szCs w:val="22"/>
        </w:rPr>
        <w:t xml:space="preserve">Energy and public affairs. </w:t>
      </w:r>
      <w:r>
        <w:rPr>
          <w:rFonts w:ascii="Calibri" w:cs="Calibri" w:eastAsia="Calibri" w:hAnsi="Calibri"/>
          <w:color w:val="16181D"/>
          <w:sz w:val="22"/>
          <w:szCs w:val="22"/>
        </w:rPr>
        <w:t xml:space="preserve">Utilities, producers, and advocacy groups fund public-affairs campaigns during rate cases, supply debates, and the LNG project cycle — episodic buys of $1,000–$3,000 per month through communications staff and agencies. The Energy tracker sponsorship ('presented by') is purpose-built inventory. Segment potential: $10,000–$25,000 annually, lumpy but high-value.</w:t>
      </w:r>
    </w:p>
    <w:p>
      <w:pPr>
        <w:spacing w:after="140" w:line="276"/>
      </w:pPr>
      <w:r>
        <w:rPr>
          <w:rFonts w:ascii="Calibri" w:cs="Calibri" w:eastAsia="Calibri" w:hAnsi="Calibri"/>
          <w:b/>
          <w:bCs/>
          <w:color w:val="16181D"/>
          <w:sz w:val="22"/>
          <w:szCs w:val="22"/>
        </w:rPr>
        <w:t xml:space="preserve">Political campaigns and committees. </w:t>
      </w:r>
      <w:r>
        <w:rPr>
          <w:rFonts w:ascii="Calibri" w:cs="Calibri" w:eastAsia="Calibri" w:hAnsi="Calibri"/>
          <w:color w:val="16181D"/>
          <w:sz w:val="22"/>
          <w:szCs w:val="22"/>
        </w:rPr>
        <w:t xml:space="preserve">Cycle-driven buyers who decide in days during September–October and pay flat weekly premiums ($500–$1,500) for placement before likely voters. The 2026 general window (this plan's launch quarter) is worth $8,000–$40,000 depending on how many of the surviving campaigns, ballot committees, and independent-expenditure groups buy; the 2027 municipal and 2028 state cycles recur. Payment is collected in full before flight — standard practice that eliminates campaign credit risk.</w:t>
      </w:r>
    </w:p>
    <w:p>
      <w:pPr>
        <w:spacing w:after="140" w:line="276"/>
      </w:pPr>
      <w:r>
        <w:rPr>
          <w:rFonts w:ascii="Calibri" w:cs="Calibri" w:eastAsia="Calibri" w:hAnsi="Calibri"/>
          <w:b/>
          <w:bCs/>
          <w:color w:val="16181D"/>
          <w:sz w:val="22"/>
          <w:szCs w:val="22"/>
        </w:rPr>
        <w:t xml:space="preserve">Events and hospitality. </w:t>
      </w:r>
      <w:r>
        <w:rPr>
          <w:rFonts w:ascii="Calibri" w:cs="Calibri" w:eastAsia="Calibri" w:hAnsi="Calibri"/>
          <w:color w:val="16181D"/>
          <w:sz w:val="22"/>
          <w:szCs w:val="22"/>
        </w:rPr>
        <w:t xml:space="preserve">Venues, promoters, and organizers buy featured calendar listings ($25–$100) and Weekend Guide sponsorship ($250–$500 per month). Individually small, this segment seeds the calendar's utility and feeds sponsored-content upsells. Segment potential: $5,000–$12,000 annually.</w:t>
      </w:r>
    </w:p>
    <w:p>
      <w:pPr>
        <w:spacing w:after="140" w:line="276"/>
      </w:pPr>
      <w:r>
        <w:rPr>
          <w:rFonts w:ascii="Calibri" w:cs="Calibri" w:eastAsia="Calibri" w:hAnsi="Calibri"/>
          <w:b/>
          <w:bCs/>
          <w:color w:val="16181D"/>
          <w:sz w:val="22"/>
          <w:szCs w:val="22"/>
        </w:rPr>
        <w:t xml:space="preserve">Professional intelligence subscribers (phase two). </w:t>
      </w:r>
      <w:r>
        <w:rPr>
          <w:rFonts w:ascii="Calibri" w:cs="Calibri" w:eastAsia="Calibri" w:hAnsi="Calibri"/>
          <w:color w:val="16181D"/>
          <w:sz w:val="22"/>
          <w:szCs w:val="22"/>
        </w:rPr>
        <w:t xml:space="preserve">Realtors, lenders, builders, property managers, utility staff, agency planners, and lobbyists — buyers who expense $299–$599 per year without committee approval when a briefing saves them an hour a week. The Landmine demonstrates the behavior at $1,299 in an adjacent niche. Fifty subscribers is $15,000–$30,000 at ~90% margin; 150 subscribers by year three is the strong case.</w:t>
      </w:r>
    </w:p>
    <w:p>
      <w:pPr>
        <w:pStyle w:val="Heading2"/>
        <w:spacing w:after="120" w:before="280"/>
      </w:pPr>
      <w:r>
        <w:rPr>
          <w:rFonts w:ascii="Cambria" w:cs="Cambria" w:eastAsia="Cambria" w:hAnsi="Cambria"/>
          <w:b/>
          <w:bCs/>
          <w:color w:val="1E8A7E"/>
          <w:sz w:val="26"/>
          <w:szCs w:val="26"/>
        </w:rPr>
        <w:t xml:space="preserve">Market entry barriers</w:t>
      </w:r>
    </w:p>
    <w:p>
      <w:pPr>
        <w:spacing w:after="140" w:line="276"/>
      </w:pPr>
      <w:r>
        <w:rPr>
          <w:rFonts w:ascii="Calibri" w:cs="Calibri" w:eastAsia="Calibri" w:hAnsi="Calibri"/>
          <w:color w:val="16181D"/>
          <w:sz w:val="22"/>
          <w:szCs w:val="22"/>
        </w:rPr>
        <w:t xml:space="preserve">The Daily Alaska benefits from barriers that are unusual for a business this cheap to run. The audience head start is the largest: a new entrant must build distribution from zero on platforms whose organic reach for new accounts has collapsed, while The Daily Alaska begins with an established channel and a recognized name. The verticals compound this — credibility on housing and energy is earned through months of consistent primary-source coverage and cannot be purchased. The cost structure is itself a barrier: at $460 per month of fixed cost, the company can sustain price competition or slow quarters that would bankrupt a staffed competitor. The compliance infrastructure (political archive, published policies, platform-enforced disclaimers) would take a competitor real engineering and cultural commitment to replicate, and it is precisely what risk-averse advertisers and political buyers select on. Finally, the two-sided habit loop — readers come for trackers and events; advertisers come for readers — deepens with time in a way that a launch-day clone cannot shortcut.</w:t>
      </w:r>
    </w:p>
    <w:p>
      <w:pPr>
        <w:pStyle w:val="Heading2"/>
        <w:spacing w:after="120" w:before="280"/>
      </w:pPr>
      <w:r>
        <w:rPr>
          <w:rFonts w:ascii="Cambria" w:cs="Cambria" w:eastAsia="Cambria" w:hAnsi="Cambria"/>
          <w:b/>
          <w:bCs/>
          <w:color w:val="1E8A7E"/>
          <w:sz w:val="26"/>
          <w:szCs w:val="26"/>
        </w:rPr>
        <w:t xml:space="preserve">Growth potential</w:t>
      </w:r>
    </w:p>
    <w:p>
      <w:pPr>
        <w:spacing w:after="140" w:line="276"/>
      </w:pPr>
      <w:r>
        <w:rPr>
          <w:rFonts w:ascii="Calibri" w:cs="Calibri" w:eastAsia="Calibri" w:hAnsi="Calibri"/>
          <w:color w:val="16181D"/>
          <w:sz w:val="22"/>
          <w:szCs w:val="22"/>
        </w:rPr>
        <w:t xml:space="preserve">Growth compounds along four axes without material new fixed cost: audience (converting social reach to owned traffic and the newsletter list, the single most valuable asset); revenue per reader (direct book renewals, tracker sponsorships, and the Brief lifting yield above programmatic rates); product surface (podcast with title sponsor, own-brand events — a housing summit, candidate forums — job board for energy/construction/real-estate employers); and cycles (the 2027 municipal and 2028 state elections recur as high-yield windows now that the political sales machinery exists). The deliberate non-goal: geographic expansion outside Alaska. Depth in one market is the moat.</w:t>
      </w:r>
    </w:p>
    <w:p>
      <w:pPr>
        <w:pStyle w:val="Heading1"/>
        <w:spacing w:after="160" w:before="400"/>
      </w:pPr>
      <w:r>
        <w:rPr>
          <w:rFonts w:ascii="Cambria" w:cs="Cambria" w:eastAsia="Cambria" w:hAnsi="Cambria"/>
          <w:b/>
          <w:bCs/>
          <w:color w:val="0E2A47"/>
          <w:sz w:val="32"/>
          <w:szCs w:val="32"/>
        </w:rPr>
        <w:t xml:space="preserve">Operations Plan</w:t>
      </w:r>
    </w:p>
    <w:p>
      <w:pPr>
        <w:pStyle w:val="Heading2"/>
        <w:spacing w:after="120" w:before="280"/>
      </w:pPr>
      <w:r>
        <w:rPr>
          <w:rFonts w:ascii="Cambria" w:cs="Cambria" w:eastAsia="Cambria" w:hAnsi="Cambria"/>
          <w:b/>
          <w:bCs/>
          <w:color w:val="1E8A7E"/>
          <w:sz w:val="26"/>
          <w:szCs w:val="26"/>
        </w:rPr>
        <w:t xml:space="preserve">Editorial operations</w:t>
      </w:r>
    </w:p>
    <w:p>
      <w:pPr>
        <w:spacing w:after="140" w:line="276"/>
      </w:pPr>
      <w:r>
        <w:rPr>
          <w:rFonts w:ascii="Calibri" w:cs="Calibri" w:eastAsia="Calibri" w:hAnsi="Calibri"/>
          <w:color w:val="16181D"/>
          <w:sz w:val="22"/>
          <w:szCs w:val="22"/>
        </w:rPr>
        <w:t xml:space="preserve">The editorial day is built around a repeatable morning cycle: trackers updated and ticker refreshed by 6:30 a.m.; the lead story and one-to-two secondary stories published by 8:00 a.m.; the newsletter sent at 8:30 a.m.; short-video versions cut and posted to TikTok and Facebook by mid-morning with captions linking to the site. Afternoon capacity goes to the next day's reporting — pulling APOC filings, RCA dockets, AHFC and MLS data, borough agendas — and to the events queue. Cadence: one to three stories per day, sustained by the fact that the existing social operation already produces daily news summaries; the change is that the site becomes the canonical home and the video becomes the distribution.</w:t>
      </w:r>
    </w:p>
    <w:p>
      <w:pPr>
        <w:spacing w:after="140" w:line="276"/>
      </w:pPr>
      <w:r>
        <w:rPr>
          <w:rFonts w:ascii="Calibri" w:cs="Calibri" w:eastAsia="Calibri" w:hAnsi="Calibri"/>
          <w:color w:val="16181D"/>
          <w:sz w:val="22"/>
          <w:szCs w:val="22"/>
        </w:rPr>
        <w:t xml:space="preserve">Sourcing discipline: primary documents first. The housing and energy beats are document-rich, which allows original reporting without a wire budget: rate filings, permit data, sales data, campaign finance reports. Where another outlet's reporting is the source, it is credited and linked, and the story adds synthesis or local consequence. Corrections follow the published policy: errors corrected in place with a dated note, material errors flagged in the newsletter.</w:t>
      </w:r>
    </w:p>
    <w:p>
      <w:pPr>
        <w:pStyle w:val="Heading2"/>
        <w:spacing w:after="120" w:before="280"/>
      </w:pPr>
      <w:r>
        <w:rPr>
          <w:rFonts w:ascii="Cambria" w:cs="Cambria" w:eastAsia="Cambria" w:hAnsi="Cambria"/>
          <w:b/>
          <w:bCs/>
          <w:color w:val="1E8A7E"/>
          <w:sz w:val="26"/>
          <w:szCs w:val="26"/>
        </w:rPr>
        <w:t xml:space="preserve">Publishing and ad operations</w:t>
      </w:r>
    </w:p>
    <w:p>
      <w:pPr>
        <w:spacing w:after="140" w:line="276"/>
      </w:pPr>
      <w:r>
        <w:rPr>
          <w:rFonts w:ascii="Calibri" w:cs="Calibri" w:eastAsia="Calibri" w:hAnsi="Calibri"/>
          <w:color w:val="16181D"/>
          <w:sz w:val="22"/>
          <w:szCs w:val="22"/>
        </w:rPr>
        <w:t xml:space="preserve">The site runs on the stack described in the Technology section, operated through the /admin console: post editor, events moderation queue, tracker metric editor, and the advertising screens. Ad operations follow a weekly rhythm: Monday — pipeline review and campaign trafficking for the week; Wednesday — mid-week delivery check (impressions pacing against flight commitments); Friday — advertiser reporting and renewals outreach. Political campaigns are trafficked same-day during the election window. Monthly close: the General Manager produces the one-page revenue statement from the shared dashboard — gross by line, net revenue, the revenue-share computation, and each advertiser's delivery — the same numbers both members and advertisers see.</w:t>
      </w:r>
    </w:p>
    <w:p>
      <w:pPr>
        <w:pStyle w:val="Heading2"/>
        <w:spacing w:after="120" w:before="280"/>
      </w:pPr>
      <w:r>
        <w:rPr>
          <w:rFonts w:ascii="Cambria" w:cs="Cambria" w:eastAsia="Cambria" w:hAnsi="Cambria"/>
          <w:b/>
          <w:bCs/>
          <w:color w:val="1E8A7E"/>
          <w:sz w:val="26"/>
          <w:szCs w:val="26"/>
        </w:rPr>
        <w:t xml:space="preserve">Standard operating procedures</w:t>
      </w:r>
    </w:p>
    <w:p>
      <w:pPr>
        <w:pStyle w:val="ListParagraph"/>
        <w:numPr>
          <w:ilvl w:val="0"/>
          <w:numId w:val="2"/>
        </w:numPr>
        <w:spacing w:after="80" w:line="276"/>
      </w:pPr>
      <w:r>
        <w:rPr>
          <w:rFonts w:ascii="Calibri" w:cs="Calibri" w:eastAsia="Calibri" w:hAnsi="Calibri"/>
          <w:b/>
          <w:bCs/>
          <w:color w:val="16181D"/>
          <w:sz w:val="22"/>
          <w:szCs w:val="22"/>
        </w:rPr>
        <w:t xml:space="preserve">Events calendar: </w:t>
      </w:r>
      <w:r>
        <w:rPr>
          <w:rFonts w:ascii="Calibri" w:cs="Calibri" w:eastAsia="Calibri" w:hAnsi="Calibri"/>
          <w:color w:val="16181D"/>
          <w:sz w:val="22"/>
          <w:szCs w:val="22"/>
        </w:rPr>
        <w:t xml:space="preserve">community submissions arrive through the public form into a moderation queue; free listings approved within 24 hours; featured upgrades invoiced on approval.</w:t>
      </w:r>
    </w:p>
    <w:p>
      <w:pPr>
        <w:pStyle w:val="ListParagraph"/>
        <w:numPr>
          <w:ilvl w:val="0"/>
          <w:numId w:val="2"/>
        </w:numPr>
        <w:spacing w:after="80" w:line="276"/>
      </w:pPr>
      <w:r>
        <w:rPr>
          <w:rFonts w:ascii="Calibri" w:cs="Calibri" w:eastAsia="Calibri" w:hAnsi="Calibri"/>
          <w:b/>
          <w:bCs/>
          <w:color w:val="16181D"/>
          <w:sz w:val="22"/>
          <w:szCs w:val="22"/>
        </w:rPr>
        <w:t xml:space="preserve">Sponsored content: </w:t>
      </w:r>
      <w:r>
        <w:rPr>
          <w:rFonts w:ascii="Calibri" w:cs="Calibri" w:eastAsia="Calibri" w:hAnsi="Calibri"/>
          <w:color w:val="16181D"/>
          <w:sz w:val="22"/>
          <w:szCs w:val="22"/>
        </w:rPr>
        <w:t xml:space="preserve">intake form → scope and rate confirmation → draft produced (by the sponsor or the outlet per package) → labeling review against the FTC checklist → publication with the sponsored template. The Publisher reviews for editorial-adjacency conflicts; the General Manager reviews labeling.</w:t>
      </w:r>
    </w:p>
    <w:p>
      <w:pPr>
        <w:pStyle w:val="ListParagraph"/>
        <w:numPr>
          <w:ilvl w:val="0"/>
          <w:numId w:val="2"/>
        </w:numPr>
        <w:spacing w:after="80" w:line="276"/>
      </w:pPr>
      <w:r>
        <w:rPr>
          <w:rFonts w:ascii="Calibri" w:cs="Calibri" w:eastAsia="Calibri" w:hAnsi="Calibri"/>
          <w:b/>
          <w:bCs/>
          <w:color w:val="16181D"/>
          <w:sz w:val="22"/>
          <w:szCs w:val="22"/>
        </w:rPr>
        <w:t xml:space="preserve">Political ads: </w:t>
      </w:r>
      <w:r>
        <w:rPr>
          <w:rFonts w:ascii="Calibri" w:cs="Calibri" w:eastAsia="Calibri" w:hAnsi="Calibri"/>
          <w:color w:val="16181D"/>
          <w:sz w:val="22"/>
          <w:szCs w:val="22"/>
        </w:rPr>
        <w:t xml:space="preserve">rate card sent uniformly; payer identification and payment in full collected before flight; disclaimer and archive entries generated by the platform automatically; the archive page is the audit trail.</w:t>
      </w:r>
    </w:p>
    <w:p>
      <w:pPr>
        <w:pStyle w:val="ListParagraph"/>
        <w:numPr>
          <w:ilvl w:val="0"/>
          <w:numId w:val="2"/>
        </w:numPr>
        <w:spacing w:after="80" w:line="276"/>
      </w:pPr>
      <w:r>
        <w:rPr>
          <w:rFonts w:ascii="Calibri" w:cs="Calibri" w:eastAsia="Calibri" w:hAnsi="Calibri"/>
          <w:b/>
          <w:bCs/>
          <w:color w:val="16181D"/>
          <w:sz w:val="22"/>
          <w:szCs w:val="22"/>
        </w:rPr>
        <w:t xml:space="preserve">Firewall procedure: </w:t>
      </w:r>
      <w:r>
        <w:rPr>
          <w:rFonts w:ascii="Calibri" w:cs="Calibri" w:eastAsia="Calibri" w:hAnsi="Calibri"/>
          <w:color w:val="16181D"/>
          <w:sz w:val="22"/>
          <w:szCs w:val="22"/>
        </w:rPr>
        <w:t xml:space="preserve">stories touching the Publisher's direct business interests (his brokerage, his listings, his borrowers) are assigned, edited, and published by the General Manager with the standing disclosure appended; the Publisher's mortgage brand buys placement only through the public rate card.</w:t>
      </w:r>
    </w:p>
    <w:p>
      <w:pPr>
        <w:pStyle w:val="Heading2"/>
        <w:spacing w:after="120" w:before="280"/>
      </w:pPr>
      <w:r>
        <w:rPr>
          <w:rFonts w:ascii="Cambria" w:cs="Cambria" w:eastAsia="Cambria" w:hAnsi="Cambria"/>
          <w:b/>
          <w:bCs/>
          <w:color w:val="1E8A7E"/>
          <w:sz w:val="26"/>
          <w:szCs w:val="26"/>
        </w:rPr>
        <w:t xml:space="preserve">Scaling operations</w:t>
      </w:r>
    </w:p>
    <w:p>
      <w:pPr>
        <w:spacing w:after="140" w:line="276"/>
      </w:pPr>
      <w:r>
        <w:rPr>
          <w:rFonts w:ascii="Calibri" w:cs="Calibri" w:eastAsia="Calibri" w:hAnsi="Calibri"/>
          <w:color w:val="16181D"/>
          <w:sz w:val="22"/>
          <w:szCs w:val="22"/>
        </w:rPr>
        <w:t xml:space="preserve">The operation is designed to scale spend only behind revenue. First hires are fractional: freelance stringers paid per story for legislative sessions and Fairbanks/Juneau coverage (budgeted from revenue share once monthly revenue clears ~$8,000); a part-time sales contractor on commission once the direct book exceeds what founder-led sales can renew; outsourced bookkeeping when transaction volume justifies it. The Brief, the podcast, and events each launch only when their first sponsor or subscriber cohort covers their marginal cost. Nothing in the plan requires a salaried employee before the business demonstrably affords one.</w:t>
      </w:r>
    </w:p>
    <w:p>
      <w:pPr>
        <w:pStyle w:val="Heading1"/>
        <w:spacing w:after="160" w:before="400"/>
      </w:pPr>
      <w:r>
        <w:rPr>
          <w:rFonts w:ascii="Cambria" w:cs="Cambria" w:eastAsia="Cambria" w:hAnsi="Cambria"/>
          <w:b/>
          <w:bCs/>
          <w:color w:val="0E2A47"/>
          <w:sz w:val="32"/>
          <w:szCs w:val="32"/>
        </w:rPr>
        <w:t xml:space="preserve">Marketing and Sales Strategy</w:t>
      </w:r>
    </w:p>
    <w:p>
      <w:pPr>
        <w:pStyle w:val="Heading2"/>
        <w:spacing w:after="120" w:before="280"/>
      </w:pPr>
      <w:r>
        <w:rPr>
          <w:rFonts w:ascii="Cambria" w:cs="Cambria" w:eastAsia="Cambria" w:hAnsi="Cambria"/>
          <w:b/>
          <w:bCs/>
          <w:color w:val="1E8A7E"/>
          <w:sz w:val="26"/>
          <w:szCs w:val="26"/>
        </w:rPr>
        <w:t xml:space="preserve">Brand positioning</w:t>
      </w:r>
    </w:p>
    <w:p>
      <w:pPr>
        <w:spacing w:after="140" w:line="276"/>
      </w:pPr>
      <w:r>
        <w:rPr>
          <w:rFonts w:ascii="Calibri" w:cs="Calibri" w:eastAsia="Calibri" w:hAnsi="Calibri"/>
          <w:color w:val="16181D"/>
          <w:sz w:val="22"/>
          <w:szCs w:val="22"/>
        </w:rPr>
        <w:t xml:space="preserve">Position: the neutral, useful one. Against the Beacon: broader, faster, consumer-focused, and commercial. Against MRAK and the Landmine: trustworthy by structure, safe for any advertiser, welcome on any Alaskan's phone regardless of politics. Against legacy media: free, mobile-first, video-native. The tagline carries the promise — 'Alaska, told straight' — and the published ethics infrastructure is the proof. Brand voice: plain declarative sentences, numbers early, no snark, no outrage framing; the codified version of the video voice that built the audience.</w:t>
      </w:r>
    </w:p>
    <w:p>
      <w:pPr>
        <w:pStyle w:val="Heading2"/>
        <w:spacing w:after="120" w:before="280"/>
      </w:pPr>
      <w:r>
        <w:rPr>
          <w:rFonts w:ascii="Cambria" w:cs="Cambria" w:eastAsia="Cambria" w:hAnsi="Cambria"/>
          <w:b/>
          <w:bCs/>
          <w:color w:val="1E8A7E"/>
          <w:sz w:val="26"/>
          <w:szCs w:val="26"/>
        </w:rPr>
        <w:t xml:space="preserve">Reader acquisition</w:t>
      </w:r>
    </w:p>
    <w:p>
      <w:pPr>
        <w:spacing w:after="140" w:line="276"/>
      </w:pPr>
      <w:r>
        <w:rPr>
          <w:rFonts w:ascii="Calibri" w:cs="Calibri" w:eastAsia="Calibri" w:hAnsi="Calibri"/>
          <w:color w:val="16181D"/>
          <w:sz w:val="22"/>
          <w:szCs w:val="22"/>
        </w:rPr>
        <w:t xml:space="preserve">The funnel already exists; the work is conversion. Every TikTok and Facebook video carries a site link and a reason to click (the full data, the documents, the tracker). Every article page captures email with a single ask — the two-minute morning brief — repeated after the lead story on mobile. SEO compounds through the trackers and primary-document stories, which earn citations and recurring search traffic ('anchorage median rent', 'enstar rate increase') that daily news never does. The election window is the launch accelerant: six weeks of maximum civic attention, during which every viral election explainer converts followers into subscribers. The conversion math is grounded in the measured funnel: recent months average roughly 700,000 to 1 million combined monthly video views; at a 1.5–3% click-through to the site — achievable once every caption carries a reason to click — social alone yields 10,000–30,000 monthly visits at launch, before newsletter, SEO, and direct traffic compound. Targets: 1,500 newsletter subscribers by day 30; 3,500+ by month six; 25,000 monthly pageviews by mid-October building to 40,000–80,000 by month six.</w:t>
      </w:r>
    </w:p>
    <w:p>
      <w:pPr>
        <w:pStyle w:val="Heading2"/>
        <w:spacing w:after="120" w:before="280"/>
      </w:pPr>
      <w:r>
        <w:rPr>
          <w:rFonts w:ascii="Cambria" w:cs="Cambria" w:eastAsia="Cambria" w:hAnsi="Cambria"/>
          <w:b/>
          <w:bCs/>
          <w:color w:val="1E8A7E"/>
          <w:sz w:val="26"/>
          <w:szCs w:val="26"/>
        </w:rPr>
        <w:t xml:space="preserve">Advertiser acquisition and sales process</w:t>
      </w:r>
    </w:p>
    <w:p>
      <w:pPr>
        <w:spacing w:after="140" w:line="276"/>
      </w:pPr>
      <w:r>
        <w:rPr>
          <w:rFonts w:ascii="Calibri" w:cs="Calibri" w:eastAsia="Calibri" w:hAnsi="Calibri"/>
          <w:color w:val="16181D"/>
          <w:sz w:val="22"/>
          <w:szCs w:val="22"/>
        </w:rPr>
        <w:t xml:space="preserve">Sales are founder-led by the General Manager through a five-stage pipeline, managed in a simple tracker reviewed every Monday:</w:t>
      </w:r>
    </w:p>
    <w:p>
      <w:pPr>
        <w:pStyle w:val="ListParagraph"/>
        <w:numPr>
          <w:ilvl w:val="0"/>
          <w:numId w:val="2"/>
        </w:numPr>
        <w:spacing w:after="80" w:line="276"/>
      </w:pPr>
      <w:r>
        <w:rPr>
          <w:rFonts w:ascii="Calibri" w:cs="Calibri" w:eastAsia="Calibri" w:hAnsi="Calibri"/>
          <w:b/>
          <w:bCs/>
          <w:color w:val="16181D"/>
          <w:sz w:val="22"/>
          <w:szCs w:val="22"/>
        </w:rPr>
        <w:t xml:space="preserve">1 — Prospecting: </w:t>
      </w:r>
      <w:r>
        <w:rPr>
          <w:rFonts w:ascii="Calibri" w:cs="Calibri" w:eastAsia="Calibri" w:hAnsi="Calibri"/>
          <w:color w:val="16181D"/>
          <w:sz w:val="22"/>
          <w:szCs w:val="22"/>
        </w:rPr>
        <w:t xml:space="preserve">a named list, built before launch: every Anchorage-metro mortgage branch, realty brokerage, credit union, builder association member, utility communications office, and — for the window — every surviving campaign and registered committee from the APOC database. Target: 100 named prospects at launch.</w:t>
      </w:r>
    </w:p>
    <w:p>
      <w:pPr>
        <w:pStyle w:val="ListParagraph"/>
        <w:numPr>
          <w:ilvl w:val="0"/>
          <w:numId w:val="2"/>
        </w:numPr>
        <w:spacing w:after="80" w:line="276"/>
      </w:pPr>
      <w:r>
        <w:rPr>
          <w:rFonts w:ascii="Calibri" w:cs="Calibri" w:eastAsia="Calibri" w:hAnsi="Calibri"/>
          <w:b/>
          <w:bCs/>
          <w:color w:val="16181D"/>
          <w:sz w:val="22"/>
          <w:szCs w:val="22"/>
        </w:rPr>
        <w:t xml:space="preserve">2 — Discovery: </w:t>
      </w:r>
      <w:r>
        <w:rPr>
          <w:rFonts w:ascii="Calibri" w:cs="Calibri" w:eastAsia="Calibri" w:hAnsi="Calibri"/>
          <w:color w:val="16181D"/>
          <w:sz w:val="22"/>
          <w:szCs w:val="22"/>
        </w:rPr>
        <w:t xml:space="preserve">a fifteen-minute call anchored on the audience data (verticals, demographics, the tracker sponsorships) rather than generic reach claims.</w:t>
      </w:r>
    </w:p>
    <w:p>
      <w:pPr>
        <w:pStyle w:val="ListParagraph"/>
        <w:numPr>
          <w:ilvl w:val="0"/>
          <w:numId w:val="2"/>
        </w:numPr>
        <w:spacing w:after="80" w:line="276"/>
      </w:pPr>
      <w:r>
        <w:rPr>
          <w:rFonts w:ascii="Calibri" w:cs="Calibri" w:eastAsia="Calibri" w:hAnsi="Calibri"/>
          <w:b/>
          <w:bCs/>
          <w:color w:val="16181D"/>
          <w:sz w:val="22"/>
          <w:szCs w:val="22"/>
        </w:rPr>
        <w:t xml:space="preserve">3 — Proposal: </w:t>
      </w:r>
      <w:r>
        <w:rPr>
          <w:rFonts w:ascii="Calibri" w:cs="Calibri" w:eastAsia="Calibri" w:hAnsi="Calibri"/>
          <w:color w:val="16181D"/>
          <w:sz w:val="22"/>
          <w:szCs w:val="22"/>
        </w:rPr>
        <w:t xml:space="preserve">one page from the public rate card — placement, flight, price, and the reporting the advertiser will receive. Political proposals are same-day documents.</w:t>
      </w:r>
    </w:p>
    <w:p>
      <w:pPr>
        <w:pStyle w:val="ListParagraph"/>
        <w:numPr>
          <w:ilvl w:val="0"/>
          <w:numId w:val="2"/>
        </w:numPr>
        <w:spacing w:after="80" w:line="276"/>
      </w:pPr>
      <w:r>
        <w:rPr>
          <w:rFonts w:ascii="Calibri" w:cs="Calibri" w:eastAsia="Calibri" w:hAnsi="Calibri"/>
          <w:b/>
          <w:bCs/>
          <w:color w:val="16181D"/>
          <w:sz w:val="22"/>
          <w:szCs w:val="22"/>
        </w:rPr>
        <w:t xml:space="preserve">4 — Launch: </w:t>
      </w:r>
      <w:r>
        <w:rPr>
          <w:rFonts w:ascii="Calibri" w:cs="Calibri" w:eastAsia="Calibri" w:hAnsi="Calibri"/>
          <w:color w:val="16181D"/>
          <w:sz w:val="22"/>
          <w:szCs w:val="22"/>
        </w:rPr>
        <w:t xml:space="preserve">creative collected or produced, campaign trafficked, first delivery report inside seven days — the retention moment most local media skip.</w:t>
      </w:r>
    </w:p>
    <w:p>
      <w:pPr>
        <w:pStyle w:val="ListParagraph"/>
        <w:numPr>
          <w:ilvl w:val="0"/>
          <w:numId w:val="2"/>
        </w:numPr>
        <w:spacing w:after="80" w:line="276"/>
      </w:pPr>
      <w:r>
        <w:rPr>
          <w:rFonts w:ascii="Calibri" w:cs="Calibri" w:eastAsia="Calibri" w:hAnsi="Calibri"/>
          <w:b/>
          <w:bCs/>
          <w:color w:val="16181D"/>
          <w:sz w:val="22"/>
          <w:szCs w:val="22"/>
        </w:rPr>
        <w:t xml:space="preserve">5 — Renewal: </w:t>
      </w:r>
      <w:r>
        <w:rPr>
          <w:rFonts w:ascii="Calibri" w:cs="Calibri" w:eastAsia="Calibri" w:hAnsi="Calibri"/>
          <w:color w:val="16181D"/>
          <w:sz w:val="22"/>
          <w:szCs w:val="22"/>
        </w:rPr>
        <w:t xml:space="preserve">monthly statements plus a quarterly review with delivery data; annual commitments offered at the discount tier. Renewal rate is a tracked KPI with a 70% target.</w:t>
      </w:r>
    </w:p>
    <w:p>
      <w:pPr>
        <w:spacing w:after="140" w:line="276"/>
      </w:pPr>
      <w:r>
        <w:rPr>
          <w:rFonts w:ascii="Calibri" w:cs="Calibri" w:eastAsia="Calibri" w:hAnsi="Calibri"/>
          <w:color w:val="16181D"/>
          <w:sz w:val="22"/>
          <w:szCs w:val="22"/>
        </w:rPr>
        <w:t xml:space="preserve">Sales targets: first paying advertiser within two weeks of launch (political); 3 accounts by day 45; 6–10 anchor accounts by month six; political sprint worked daily from the launch date through November 3.</w:t>
      </w:r>
    </w:p>
    <w:p>
      <w:pPr>
        <w:pStyle w:val="Heading2"/>
        <w:spacing w:after="120" w:before="280"/>
      </w:pPr>
      <w:r>
        <w:rPr>
          <w:rFonts w:ascii="Cambria" w:cs="Cambria" w:eastAsia="Cambria" w:hAnsi="Cambria"/>
          <w:b/>
          <w:bCs/>
          <w:color w:val="1E8A7E"/>
          <w:sz w:val="26"/>
          <w:szCs w:val="26"/>
        </w:rPr>
        <w:t xml:space="preserve">Pricing strategy</w:t>
      </w:r>
    </w:p>
    <w:p>
      <w:pPr>
        <w:spacing w:after="140" w:line="276"/>
      </w:pPr>
      <w:r>
        <w:rPr>
          <w:rFonts w:ascii="Calibri" w:cs="Calibri" w:eastAsia="Calibri" w:hAnsi="Calibri"/>
          <w:color w:val="16181D"/>
          <w:sz w:val="22"/>
          <w:szCs w:val="22"/>
        </w:rPr>
        <w:t xml:space="preserve">Pricing is value-based against the audience quality, flat-rate for predictability, and public — a uniform rate card protects the neutrality brand and simplifies political compliance. Launch rates, rising with audited traffic growth:</w:t>
      </w:r>
    </w:p>
    <w:tbl>
      <w:tblPr>
        <w:tblW w:type="dxa" w:w="9960"/>
        <w:tblBorders>
          <w:top w:val="single" w:color="auto" w:sz="4"/>
          <w:left w:val="single" w:color="auto" w:sz="4"/>
          <w:bottom w:val="single" w:color="auto" w:sz="4"/>
          <w:right w:val="single" w:color="auto" w:sz="4"/>
          <w:insideH w:val="single" w:color="auto" w:sz="4"/>
          <w:insideV w:val="single" w:color="auto" w:sz="4"/>
        </w:tblBorders>
      </w:tblPr>
      <w:tblGrid>
        <w:gridCol w:w="3300"/>
        <w:gridCol w:w="2500"/>
        <w:gridCol w:w="4160"/>
      </w:tblGrid>
      <w:tr>
        <w:trPr>
          <w:tblHeader/>
        </w:trPr>
        <w:tc>
          <w:tcPr>
            <w:tcW w:type="dxa" w:w="33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Inventory</w:t>
            </w:r>
          </w:p>
        </w:tc>
        <w:tc>
          <w:tcPr>
            <w:tcW w:type="dxa" w:w="25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Launch rate</w:t>
            </w:r>
          </w:p>
        </w:tc>
        <w:tc>
          <w:tcPr>
            <w:tcW w:type="dxa" w:w="416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Notes</w:t>
            </w:r>
          </w:p>
        </w:tc>
      </w:tr>
      <w:tr>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Homepage leaderboard</w:t>
            </w:r>
          </w:p>
        </w:tc>
        <w:tc>
          <w:tcPr>
            <w:tcW w:type="dxa" w:w="25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$600/mo</w:t>
            </w:r>
          </w:p>
        </w:tc>
        <w:tc>
          <w:tcPr>
            <w:tcW w:type="dxa" w:w="41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Highest-visibility standing placement</w:t>
            </w:r>
          </w:p>
        </w:tc>
      </w:tr>
      <w:tr>
        <w:tc>
          <w:tcPr>
            <w:tcW w:type="dxa" w:w="3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Section sponsorship (Housing, Energy, Politics, Life)</w:t>
            </w:r>
          </w:p>
        </w:tc>
        <w:tc>
          <w:tcPr>
            <w:tcW w:type="dxa" w:w="25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$400–$750/mo</w:t>
            </w:r>
          </w:p>
        </w:tc>
        <w:tc>
          <w:tcPr>
            <w:tcW w:type="dxa" w:w="41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Exclusive per section</w:t>
            </w:r>
          </w:p>
        </w:tc>
      </w:tr>
      <w:tr>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Data tracker 'presented by' (Housing or Energy)</w:t>
            </w:r>
          </w:p>
        </w:tc>
        <w:tc>
          <w:tcPr>
            <w:tcW w:type="dxa" w:w="25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$750–$2,000/mo</w:t>
            </w:r>
          </w:p>
        </w:tc>
        <w:tc>
          <w:tcPr>
            <w:tcW w:type="dxa" w:w="41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Premium signature inventory; one sponsor each</w:t>
            </w:r>
          </w:p>
        </w:tc>
      </w:tr>
      <w:tr>
        <w:tc>
          <w:tcPr>
            <w:tcW w:type="dxa" w:w="3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In-article inline</w:t>
            </w:r>
          </w:p>
        </w:tc>
        <w:tc>
          <w:tcPr>
            <w:tcW w:type="dxa" w:w="25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$350/mo</w:t>
            </w:r>
          </w:p>
        </w:tc>
        <w:tc>
          <w:tcPr>
            <w:tcW w:type="dxa" w:w="41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Rotating, capped density</w:t>
            </w:r>
          </w:p>
        </w:tc>
      </w:tr>
      <w:tr>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Newsletter sponsorship</w:t>
            </w:r>
          </w:p>
        </w:tc>
        <w:tc>
          <w:tcPr>
            <w:tcW w:type="dxa" w:w="25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$150/send launch → scales with list</w:t>
            </w:r>
          </w:p>
        </w:tc>
        <w:tc>
          <w:tcPr>
            <w:tcW w:type="dxa" w:w="41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Single sponsor per send</w:t>
            </w:r>
          </w:p>
        </w:tc>
      </w:tr>
      <w:tr>
        <w:tc>
          <w:tcPr>
            <w:tcW w:type="dxa" w:w="3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Political placements</w:t>
            </w:r>
          </w:p>
        </w:tc>
        <w:tc>
          <w:tcPr>
            <w:tcW w:type="dxa" w:w="25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$500–$1,500/week flat</w:t>
            </w:r>
          </w:p>
        </w:tc>
        <w:tc>
          <w:tcPr>
            <w:tcW w:type="dxa" w:w="41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Uniform rates; paid in full before flight</w:t>
            </w:r>
          </w:p>
        </w:tc>
      </w:tr>
      <w:tr>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Sponsored article</w:t>
            </w:r>
          </w:p>
        </w:tc>
        <w:tc>
          <w:tcPr>
            <w:tcW w:type="dxa" w:w="25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$600 · $950 with vertical video · $1,200 premium (adds newsletter feature)</w:t>
            </w:r>
          </w:p>
        </w:tc>
        <w:tc>
          <w:tcPr>
            <w:tcW w:type="dxa" w:w="41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Clearly labeled; video format is unique in market</w:t>
            </w:r>
          </w:p>
        </w:tc>
      </w:tr>
      <w:tr>
        <w:tc>
          <w:tcPr>
            <w:tcW w:type="dxa" w:w="3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Events: featured listing</w:t>
            </w:r>
          </w:p>
        </w:tc>
        <w:tc>
          <w:tcPr>
            <w:tcW w:type="dxa" w:w="25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$25–$100/event</w:t>
            </w:r>
          </w:p>
        </w:tc>
        <w:tc>
          <w:tcPr>
            <w:tcW w:type="dxa" w:w="41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Free community listings always available</w:t>
            </w:r>
          </w:p>
        </w:tc>
      </w:tr>
      <w:tr>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Weekend Guide sponsorship</w:t>
            </w:r>
          </w:p>
        </w:tc>
        <w:tc>
          <w:tcPr>
            <w:tcW w:type="dxa" w:w="25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$250–$500/mo</w:t>
            </w:r>
          </w:p>
        </w:tc>
        <w:tc>
          <w:tcPr>
            <w:tcW w:type="dxa" w:w="41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Category exclusive</w:t>
            </w:r>
          </w:p>
        </w:tc>
      </w:tr>
    </w:tbl>
    <w:p>
      <w:pPr>
        <w:spacing w:after="120"/>
      </w:pPr>
    </w:p>
    <w:p>
      <w:pPr>
        <w:spacing w:after="140" w:line="276"/>
      </w:pPr>
      <w:r>
        <w:rPr>
          <w:rFonts w:ascii="Calibri" w:cs="Calibri" w:eastAsia="Calibri" w:hAnsi="Calibri"/>
          <w:b/>
          <w:bCs/>
          <w:color w:val="16181D"/>
          <w:sz w:val="22"/>
          <w:szCs w:val="22"/>
        </w:rPr>
        <w:t xml:space="preserve">Commitment discounts: </w:t>
      </w:r>
      <w:r>
        <w:rPr>
          <w:rFonts w:ascii="Calibri" w:cs="Calibri" w:eastAsia="Calibri" w:hAnsi="Calibri"/>
          <w:color w:val="16181D"/>
          <w:sz w:val="22"/>
          <w:szCs w:val="22"/>
        </w:rPr>
        <w:t xml:space="preserve">5% on three-month commitments, 10% on annual; political inventory is never discounted below card (equal treatment is the product). Payment terms: local accounts net-15; political prepaid; sponsored content 50% on commission, 50% on publication.</w:t>
      </w:r>
    </w:p>
    <w:p>
      <w:pPr>
        <w:pStyle w:val="Heading2"/>
        <w:spacing w:after="120" w:before="280"/>
      </w:pPr>
      <w:r>
        <w:rPr>
          <w:rFonts w:ascii="Cambria" w:cs="Cambria" w:eastAsia="Cambria" w:hAnsi="Cambria"/>
          <w:b/>
          <w:bCs/>
          <w:color w:val="1E8A7E"/>
          <w:sz w:val="26"/>
          <w:szCs w:val="26"/>
        </w:rPr>
        <w:t xml:space="preserve">Partnerships and community marketing</w:t>
      </w:r>
    </w:p>
    <w:p>
      <w:pPr>
        <w:spacing w:after="140" w:line="276"/>
      </w:pPr>
      <w:r>
        <w:rPr>
          <w:rFonts w:ascii="Calibri" w:cs="Calibri" w:eastAsia="Calibri" w:hAnsi="Calibri"/>
          <w:color w:val="16181D"/>
          <w:sz w:val="22"/>
          <w:szCs w:val="22"/>
        </w:rPr>
        <w:t xml:space="preserve">Distribution partnerships substitute for ad spend: the Anchorage Chamber, realtor and homebuilder associations, and event venues receive co-promotion (their events featured; their newsletters cite the trackers) in exchange for reach into exactly the advertiser segments the outlet sells to. Community presence — moderating a candidate forum, publishing the housing summit's data — is the marketing budget; the plan carries only $50 per month for paid social boosts on launch-critical posts.</w:t>
      </w:r>
    </w:p>
    <w:p>
      <w:pPr>
        <w:pStyle w:val="Heading2"/>
        <w:spacing w:after="120" w:before="280"/>
      </w:pPr>
      <w:r>
        <w:rPr>
          <w:rFonts w:ascii="Cambria" w:cs="Cambria" w:eastAsia="Cambria" w:hAnsi="Cambria"/>
          <w:b/>
          <w:bCs/>
          <w:color w:val="1E8A7E"/>
          <w:sz w:val="26"/>
          <w:szCs w:val="26"/>
        </w:rPr>
        <w:t xml:space="preserve">Marketing implementation timeline</w:t>
      </w:r>
    </w:p>
    <w:tbl>
      <w:tblPr>
        <w:tblW w:type="dxa" w:w="9960"/>
        <w:tblBorders>
          <w:top w:val="single" w:color="auto" w:sz="4"/>
          <w:left w:val="single" w:color="auto" w:sz="4"/>
          <w:bottom w:val="single" w:color="auto" w:sz="4"/>
          <w:right w:val="single" w:color="auto" w:sz="4"/>
          <w:insideH w:val="single" w:color="auto" w:sz="4"/>
          <w:insideV w:val="single" w:color="auto" w:sz="4"/>
        </w:tblBorders>
      </w:tblPr>
      <w:tblGrid>
        <w:gridCol w:w="2200"/>
        <w:gridCol w:w="7760"/>
      </w:tblGrid>
      <w:tr>
        <w:trPr>
          <w:tblHeader/>
        </w:trPr>
        <w:tc>
          <w:tcPr>
            <w:tcW w:type="dxa" w:w="22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Window</w:t>
            </w:r>
          </w:p>
        </w:tc>
        <w:tc>
          <w:tcPr>
            <w:tcW w:type="dxa" w:w="776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Actions</w:t>
            </w:r>
          </w:p>
        </w:tc>
      </w:tr>
      <w:tr>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Pre-launch (build weeks)</w:t>
            </w:r>
          </w:p>
        </w:tc>
        <w:tc>
          <w:tcPr>
            <w:tcW w:type="dxa" w:w="77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Prospect list built; rate card and media kit finalized; teaser posts on social; newsletter waitlist live from day 5</w:t>
            </w:r>
          </w:p>
        </w:tc>
      </w:tr>
      <w:tr>
        <w:tc>
          <w:tcPr>
            <w:tcW w:type="dxa" w:w="2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Launch week</w:t>
            </w:r>
          </w:p>
        </w:tc>
        <w:tc>
          <w:tcPr>
            <w:tcW w:type="dxa" w:w="77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Announcement across all channels; election-coverage positioning; political outreach begins day one</w:t>
            </w:r>
          </w:p>
        </w:tc>
      </w:tr>
      <w:tr>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Sept–Nov 3</w:t>
            </w:r>
          </w:p>
        </w:tc>
        <w:tc>
          <w:tcPr>
            <w:tcW w:type="dxa" w:w="77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Daily election coverage as acquisition engine; political sales sprint; first advertiser case study published</w:t>
            </w:r>
          </w:p>
        </w:tc>
      </w:tr>
      <w:tr>
        <w:tc>
          <w:tcPr>
            <w:tcW w:type="dxa" w:w="2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Nov–Jan</w:t>
            </w:r>
          </w:p>
        </w:tc>
        <w:tc>
          <w:tcPr>
            <w:tcW w:type="dxa" w:w="77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Post-election conversion push ('keep the habit'); anchor-advertiser cycle; events calendar promotion into holiday season</w:t>
            </w:r>
          </w:p>
        </w:tc>
      </w:tr>
      <w:tr>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Months 4–12</w:t>
            </w:r>
          </w:p>
        </w:tc>
        <w:tc>
          <w:tcPr>
            <w:tcW w:type="dxa" w:w="77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Quarterly advertiser reviews; Brief waitlist from tracker pages; partnership co-promotions; 2027 municipal-cycle political outreach</w:t>
            </w:r>
          </w:p>
        </w:tc>
      </w:tr>
    </w:tbl>
    <w:p>
      <w:pPr>
        <w:spacing w:after="120"/>
      </w:pPr>
    </w:p>
    <w:p>
      <w:pPr>
        <w:pStyle w:val="Heading1"/>
        <w:spacing w:after="160" w:before="400"/>
      </w:pPr>
      <w:r>
        <w:rPr>
          <w:rFonts w:ascii="Cambria" w:cs="Cambria" w:eastAsia="Cambria" w:hAnsi="Cambria"/>
          <w:b/>
          <w:bCs/>
          <w:color w:val="0E2A47"/>
          <w:sz w:val="32"/>
          <w:szCs w:val="32"/>
        </w:rPr>
        <w:t xml:space="preserve">Financial Plan</w:t>
      </w:r>
    </w:p>
    <w:p>
      <w:pPr>
        <w:spacing w:after="140" w:line="276"/>
      </w:pPr>
      <w:r>
        <w:rPr>
          <w:rFonts w:ascii="Calibri" w:cs="Calibri" w:eastAsia="Calibri" w:hAnsi="Calibri"/>
          <w:color w:val="16181D"/>
          <w:sz w:val="22"/>
          <w:szCs w:val="22"/>
        </w:rPr>
        <w:t xml:space="preserve">The complete three-year integrated model accompanies this plan as </w:t>
      </w:r>
      <w:r>
        <w:rPr>
          <w:rFonts w:ascii="Calibri" w:cs="Calibri" w:eastAsia="Calibri" w:hAnsi="Calibri"/>
          <w:i/>
          <w:iCs/>
          <w:color w:val="16181D"/>
          <w:sz w:val="22"/>
          <w:szCs w:val="22"/>
        </w:rPr>
        <w:t xml:space="preserve">THE DAILY ALASKA FINANCIAL PROJECTIONS.xlsx</w:t>
      </w:r>
      <w:r>
        <w:rPr>
          <w:rFonts w:ascii="Calibri" w:cs="Calibri" w:eastAsia="Calibri" w:hAnsi="Calibri"/>
          <w:color w:val="16181D"/>
          <w:sz w:val="22"/>
          <w:szCs w:val="22"/>
        </w:rPr>
        <w:t xml:space="preserve"> — an adaptation of the Alaska SBDC Financial Projection Model with a one-cell scenario switch (Conservative / Base / Strong), monthly year-one sales forecast and cash flow, the revenue-share computation, income statements, breakeven, and ratio analysis. Headline figures below are the base case.</w:t>
      </w:r>
    </w:p>
    <w:p>
      <w:pPr>
        <w:pStyle w:val="Heading2"/>
        <w:spacing w:after="120" w:before="280"/>
      </w:pPr>
      <w:r>
        <w:rPr>
          <w:rFonts w:ascii="Cambria" w:cs="Cambria" w:eastAsia="Cambria" w:hAnsi="Cambria"/>
          <w:b/>
          <w:bCs/>
          <w:color w:val="1E8A7E"/>
          <w:sz w:val="26"/>
          <w:szCs w:val="26"/>
        </w:rPr>
        <w:t xml:space="preserve">Initial investment requirements</w:t>
      </w:r>
    </w:p>
    <w:tbl>
      <w:tblPr>
        <w:tblW w:type="dxa" w:w="9960"/>
        <w:tblBorders>
          <w:top w:val="single" w:color="auto" w:sz="4"/>
          <w:left w:val="single" w:color="auto" w:sz="4"/>
          <w:bottom w:val="single" w:color="auto" w:sz="4"/>
          <w:right w:val="single" w:color="auto" w:sz="4"/>
          <w:insideH w:val="single" w:color="auto" w:sz="4"/>
          <w:insideV w:val="single" w:color="auto" w:sz="4"/>
        </w:tblBorders>
      </w:tblPr>
      <w:tblGrid>
        <w:gridCol w:w="4200"/>
        <w:gridCol w:w="1600"/>
        <w:gridCol w:w="4160"/>
      </w:tblGrid>
      <w:tr>
        <w:trPr>
          <w:tblHeader/>
        </w:trPr>
        <w:tc>
          <w:tcPr>
            <w:tcW w:type="dxa" w:w="42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Start-up item</w:t>
            </w:r>
          </w:p>
        </w:tc>
        <w:tc>
          <w:tcPr>
            <w:tcW w:type="dxa" w:w="16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Amount</w:t>
            </w:r>
          </w:p>
        </w:tc>
        <w:tc>
          <w:tcPr>
            <w:tcW w:type="dxa" w:w="416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Note</w:t>
            </w:r>
          </w:p>
        </w:tc>
      </w:tr>
      <w:tr>
        <w:tc>
          <w:tcPr>
            <w:tcW w:type="dxa" w:w="4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LLC Articles of Organization</w:t>
            </w:r>
          </w:p>
        </w:tc>
        <w:tc>
          <w:tcPr>
            <w:tcW w:type="dxa" w:w="16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$250</w:t>
            </w:r>
          </w:p>
        </w:tc>
        <w:tc>
          <w:tcPr>
            <w:tcW w:type="dxa" w:w="41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Same-day online filing</w:t>
            </w:r>
          </w:p>
        </w:tc>
      </w:tr>
      <w:tr>
        <w:tc>
          <w:tcPr>
            <w:tcW w:type="dxa" w:w="4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Alaska business license</w:t>
            </w:r>
          </w:p>
        </w:tc>
        <w:tc>
          <w:tcPr>
            <w:tcW w:type="dxa" w:w="16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w:t>
            </w:r>
          </w:p>
        </w:tc>
        <w:tc>
          <w:tcPr>
            <w:tcW w:type="dxa" w:w="41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Annual</w:t>
            </w:r>
          </w:p>
        </w:tc>
      </w:tr>
      <w:tr>
        <w:tc>
          <w:tcPr>
            <w:tcW w:type="dxa" w:w="4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Registered agent + business mail (first month)</w:t>
            </w:r>
          </w:p>
        </w:tc>
        <w:tc>
          <w:tcPr>
            <w:tcW w:type="dxa" w:w="16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w:t>
            </w:r>
          </w:p>
        </w:tc>
        <w:tc>
          <w:tcPr>
            <w:tcW w:type="dxa" w:w="41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~$50/mo combined, per Chapa Lyons arrangement</w:t>
            </w:r>
          </w:p>
        </w:tc>
      </w:tr>
      <w:tr>
        <w:tc>
          <w:tcPr>
            <w:tcW w:type="dxa" w:w="4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Media liability insurance (first month)</w:t>
            </w:r>
          </w:p>
        </w:tc>
        <w:tc>
          <w:tcPr>
            <w:tcW w:type="dxa" w:w="16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$210</w:t>
            </w:r>
          </w:p>
        </w:tc>
        <w:tc>
          <w:tcPr>
            <w:tcW w:type="dxa" w:w="41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Monthly payment plan</w:t>
            </w:r>
          </w:p>
        </w:tc>
      </w:tr>
      <w:tr>
        <w:tc>
          <w:tcPr>
            <w:tcW w:type="dxa" w:w="4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Domains</w:t>
            </w:r>
          </w:p>
        </w:tc>
        <w:tc>
          <w:tcPr>
            <w:tcW w:type="dxa" w:w="16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$200</w:t>
            </w:r>
          </w:p>
        </w:tc>
        <w:tc>
          <w:tcPr>
            <w:tcW w:type="dxa" w:w="41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thedailyalaska.com renewal + dailyalaska.com acquisition</w:t>
            </w:r>
          </w:p>
        </w:tc>
      </w:tr>
      <w:tr>
        <w:tc>
          <w:tcPr>
            <w:tcW w:type="dxa" w:w="4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Lovable + Supabase (first month)</w:t>
            </w:r>
          </w:p>
        </w:tc>
        <w:tc>
          <w:tcPr>
            <w:tcW w:type="dxa" w:w="16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w:t>
            </w:r>
          </w:p>
        </w:tc>
        <w:tc>
          <w:tcPr>
            <w:tcW w:type="dxa" w:w="41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
            </w:r>
          </w:p>
        </w:tc>
      </w:tr>
      <w:tr>
        <w:tc>
          <w:tcPr>
            <w:tcW w:type="dxa" w:w="4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Setup miscellany</w:t>
            </w:r>
          </w:p>
        </w:tc>
        <w:tc>
          <w:tcPr>
            <w:tcW w:type="dxa" w:w="16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w:t>
            </w:r>
          </w:p>
        </w:tc>
        <w:tc>
          <w:tcPr>
            <w:tcW w:type="dxa" w:w="41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Bookkeeping software, minor SaaS</w:t>
            </w:r>
          </w:p>
        </w:tc>
      </w:tr>
      <w:tr>
        <w:tc>
          <w:tcPr>
            <w:tcW w:type="dxa" w:w="4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Working capital / contingency</w:t>
            </w:r>
          </w:p>
        </w:tc>
        <w:tc>
          <w:tcPr>
            <w:tcW w:type="dxa" w:w="16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$500</w:t>
            </w:r>
          </w:p>
        </w:tc>
        <w:tc>
          <w:tcPr>
            <w:tcW w:type="dxa" w:w="41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Owner-set buffer</w:t>
            </w:r>
          </w:p>
        </w:tc>
      </w:tr>
      <w:tr>
        <w:tc>
          <w:tcPr>
            <w:tcW w:type="dxa" w:w="4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Total cash start-up</w:t>
            </w:r>
          </w:p>
        </w:tc>
        <w:tc>
          <w:tcPr>
            <w:tcW w:type="dxa" w:w="16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$1,360</w:t>
            </w:r>
          </w:p>
        </w:tc>
        <w:tc>
          <w:tcPr>
            <w:tcW w:type="dxa" w:w="41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
            </w:r>
          </w:p>
        </w:tc>
      </w:tr>
    </w:tbl>
    <w:p>
      <w:pPr>
        <w:spacing w:after="120"/>
      </w:pPr>
    </w:p>
    <w:p>
      <w:pPr>
        <w:spacing w:after="140" w:line="276"/>
      </w:pPr>
      <w:r>
        <w:rPr>
          <w:rFonts w:ascii="Calibri" w:cs="Calibri" w:eastAsia="Calibri" w:hAnsi="Calibri"/>
          <w:color w:val="16181D"/>
          <w:sz w:val="22"/>
          <w:szCs w:val="22"/>
        </w:rPr>
        <w:t xml:space="preserve">The site build itself — brand system, platform, ad server, launch — is contributed in-kind by the General Manager at an agreed value of $15,000–$25,000 and recouped through the revenue share, not paid in cash. Total cash at risk to the founder is approximately $1,400 plus ~$460 per month of operating costs.</w:t>
      </w:r>
    </w:p>
    <w:p>
      <w:pPr>
        <w:pStyle w:val="Heading2"/>
        <w:spacing w:after="120" w:before="280"/>
      </w:pPr>
      <w:r>
        <w:rPr>
          <w:rFonts w:ascii="Cambria" w:cs="Cambria" w:eastAsia="Cambria" w:hAnsi="Cambria"/>
          <w:b/>
          <w:bCs/>
          <w:color w:val="1E8A7E"/>
          <w:sz w:val="26"/>
          <w:szCs w:val="26"/>
        </w:rPr>
        <w:t xml:space="preserve">Operating expenses</w:t>
      </w:r>
    </w:p>
    <w:tbl>
      <w:tblPr>
        <w:tblW w:type="dxa" w:w="7800"/>
        <w:tblBorders>
          <w:top w:val="single" w:color="auto" w:sz="4"/>
          <w:left w:val="single" w:color="auto" w:sz="4"/>
          <w:bottom w:val="single" w:color="auto" w:sz="4"/>
          <w:right w:val="single" w:color="auto" w:sz="4"/>
          <w:insideH w:val="single" w:color="auto" w:sz="4"/>
          <w:insideV w:val="single" w:color="auto" w:sz="4"/>
        </w:tblBorders>
      </w:tblPr>
      <w:tblGrid>
        <w:gridCol w:w="6000"/>
        <w:gridCol w:w="1800"/>
      </w:tblGrid>
      <w:tr>
        <w:trPr>
          <w:tblHeader/>
        </w:trPr>
        <w:tc>
          <w:tcPr>
            <w:tcW w:type="dxa" w:w="60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Monthly fixed expense</w:t>
            </w:r>
          </w:p>
        </w:tc>
        <w:tc>
          <w:tcPr>
            <w:tcW w:type="dxa" w:w="18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Amount</w:t>
            </w:r>
          </w:p>
        </w:tc>
      </w:tr>
      <w:tr>
        <w:tc>
          <w:tcPr>
            <w:tcW w:type="dxa" w:w="60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Lovable subscription</w:t>
            </w:r>
          </w:p>
        </w:tc>
        <w:tc>
          <w:tcPr>
            <w:tcW w:type="dxa" w:w="18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$25</w:t>
            </w:r>
          </w:p>
        </w:tc>
      </w:tr>
      <w:tr>
        <w:tc>
          <w:tcPr>
            <w:tcW w:type="dxa" w:w="60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Supabase (Pro tier)</w:t>
            </w:r>
          </w:p>
        </w:tc>
        <w:tc>
          <w:tcPr>
            <w:tcW w:type="dxa" w:w="18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$25</w:t>
            </w:r>
          </w:p>
        </w:tc>
      </w:tr>
      <w:tr>
        <w:tc>
          <w:tcPr>
            <w:tcW w:type="dxa" w:w="60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Newsletter platform (beehiiv, free to 2,500 subs)</w:t>
            </w:r>
          </w:p>
        </w:tc>
        <w:tc>
          <w:tcPr>
            <w:tcW w:type="dxa" w:w="18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$0</w:t>
            </w:r>
          </w:p>
        </w:tc>
      </w:tr>
      <w:tr>
        <w:tc>
          <w:tcPr>
            <w:tcW w:type="dxa" w:w="60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Registered agent + business mailing address</w:t>
            </w:r>
          </w:p>
        </w:tc>
        <w:tc>
          <w:tcPr>
            <w:tcW w:type="dxa" w:w="18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w:t>
            </w:r>
          </w:p>
        </w:tc>
      </w:tr>
      <w:tr>
        <w:tc>
          <w:tcPr>
            <w:tcW w:type="dxa" w:w="60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Insurance (monthly plan)</w:t>
            </w:r>
          </w:p>
        </w:tc>
        <w:tc>
          <w:tcPr>
            <w:tcW w:type="dxa" w:w="18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$210</w:t>
            </w:r>
          </w:p>
        </w:tc>
      </w:tr>
      <w:tr>
        <w:tc>
          <w:tcPr>
            <w:tcW w:type="dxa" w:w="60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Licenses &amp; filings (amortized)</w:t>
            </w:r>
          </w:p>
        </w:tc>
        <w:tc>
          <w:tcPr>
            <w:tcW w:type="dxa" w:w="18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$15</w:t>
            </w:r>
          </w:p>
        </w:tc>
      </w:tr>
      <w:tr>
        <w:tc>
          <w:tcPr>
            <w:tcW w:type="dxa" w:w="60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Marketing &amp; social boosts</w:t>
            </w:r>
          </w:p>
        </w:tc>
        <w:tc>
          <w:tcPr>
            <w:tcW w:type="dxa" w:w="18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w:t>
            </w:r>
          </w:p>
        </w:tc>
      </w:tr>
      <w:tr>
        <w:tc>
          <w:tcPr>
            <w:tcW w:type="dxa" w:w="60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Bookkeeping reserve</w:t>
            </w:r>
          </w:p>
        </w:tc>
        <w:tc>
          <w:tcPr>
            <w:tcW w:type="dxa" w:w="18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$60</w:t>
            </w:r>
          </w:p>
        </w:tc>
      </w:tr>
      <w:tr>
        <w:tc>
          <w:tcPr>
            <w:tcW w:type="dxa" w:w="60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Miscellaneous / contingency</w:t>
            </w:r>
          </w:p>
        </w:tc>
        <w:tc>
          <w:tcPr>
            <w:tcW w:type="dxa" w:w="18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$25</w:t>
            </w:r>
          </w:p>
        </w:tc>
      </w:tr>
      <w:tr>
        <w:tc>
          <w:tcPr>
            <w:tcW w:type="dxa" w:w="60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Total</w:t>
            </w:r>
          </w:p>
        </w:tc>
        <w:tc>
          <w:tcPr>
            <w:tcW w:type="dxa" w:w="18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$460</w:t>
            </w:r>
          </w:p>
        </w:tc>
      </w:tr>
    </w:tbl>
    <w:p>
      <w:pPr>
        <w:spacing w:after="120"/>
      </w:pPr>
    </w:p>
    <w:p>
      <w:pPr>
        <w:pStyle w:val="Heading2"/>
        <w:spacing w:after="120" w:before="280"/>
      </w:pPr>
      <w:r>
        <w:rPr>
          <w:rFonts w:ascii="Cambria" w:cs="Cambria" w:eastAsia="Cambria" w:hAnsi="Cambria"/>
          <w:b/>
          <w:bCs/>
          <w:color w:val="1E8A7E"/>
          <w:sz w:val="26"/>
          <w:szCs w:val="26"/>
        </w:rPr>
        <w:t xml:space="preserve">Revenue projections</w:t>
      </w:r>
    </w:p>
    <w:p>
      <w:pPr>
        <w:spacing w:after="140" w:line="276"/>
      </w:pPr>
      <w:r>
        <w:rPr>
          <w:rFonts w:ascii="Calibri" w:cs="Calibri" w:eastAsia="Calibri" w:hAnsi="Calibri"/>
          <w:color w:val="16181D"/>
          <w:sz w:val="22"/>
          <w:szCs w:val="22"/>
        </w:rPr>
        <w:t xml:space="preserve">Base-case monthly ramp, year one (October 2026 – September 2027), by line:</w:t>
      </w:r>
    </w:p>
    <w:tbl>
      <w:tblPr>
        <w:tblW w:type="dxa" w:w="9960"/>
        <w:tblBorders>
          <w:top w:val="single" w:color="auto" w:sz="4"/>
          <w:left w:val="single" w:color="auto" w:sz="4"/>
          <w:bottom w:val="single" w:color="auto" w:sz="4"/>
          <w:right w:val="single" w:color="auto" w:sz="4"/>
          <w:insideH w:val="single" w:color="auto" w:sz="4"/>
          <w:insideV w:val="single" w:color="auto" w:sz="4"/>
        </w:tblBorders>
      </w:tblPr>
      <w:tblGrid>
        <w:gridCol w:w="2160"/>
        <w:gridCol w:w="900"/>
        <w:gridCol w:w="900"/>
        <w:gridCol w:w="900"/>
        <w:gridCol w:w="1300"/>
        <w:gridCol w:w="1300"/>
        <w:gridCol w:w="1300"/>
        <w:gridCol w:w="1200"/>
      </w:tblGrid>
      <w:tr>
        <w:trPr>
          <w:tblHeader/>
        </w:trPr>
        <w:tc>
          <w:tcPr>
            <w:tcW w:type="dxa" w:w="216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Line</w:t>
            </w:r>
          </w:p>
        </w:tc>
        <w:tc>
          <w:tcPr>
            <w:tcW w:type="dxa" w:w="9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Oct</w:t>
            </w:r>
          </w:p>
        </w:tc>
        <w:tc>
          <w:tcPr>
            <w:tcW w:type="dxa" w:w="9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Nov</w:t>
            </w:r>
          </w:p>
        </w:tc>
        <w:tc>
          <w:tcPr>
            <w:tcW w:type="dxa" w:w="9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Dec</w:t>
            </w:r>
          </w:p>
        </w:tc>
        <w:tc>
          <w:tcPr>
            <w:tcW w:type="dxa" w:w="13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Q2 (J-F-M)</w:t>
            </w:r>
          </w:p>
        </w:tc>
        <w:tc>
          <w:tcPr>
            <w:tcW w:type="dxa" w:w="13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Q3 (A-M-J)</w:t>
            </w:r>
          </w:p>
        </w:tc>
        <w:tc>
          <w:tcPr>
            <w:tcW w:type="dxa" w:w="13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Q4 (J-A-S)</w:t>
            </w:r>
          </w:p>
        </w:tc>
        <w:tc>
          <w:tcPr>
            <w:tcW w:type="dxa" w:w="12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Year 1</w:t>
            </w:r>
          </w:p>
        </w:tc>
      </w:tr>
      <w:tr>
        <w:tc>
          <w:tcPr>
            <w:tcW w:type="dxa" w:w="21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Political</w:t>
            </w:r>
          </w:p>
        </w:tc>
        <w:tc>
          <w:tcPr>
            <w:tcW w:type="dxa" w:w="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6,000</w:t>
            </w:r>
          </w:p>
        </w:tc>
        <w:tc>
          <w:tcPr>
            <w:tcW w:type="dxa" w:w="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4,000</w:t>
            </w:r>
          </w:p>
        </w:tc>
        <w:tc>
          <w:tcPr>
            <w:tcW w:type="dxa" w:w="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250</w:t>
            </w:r>
          </w:p>
        </w:tc>
        <w:tc>
          <w:tcPr>
            <w:tcW w:type="dxa" w:w="1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1,500</w:t>
            </w:r>
          </w:p>
        </w:tc>
        <w:tc>
          <w:tcPr>
            <w:tcW w:type="dxa" w:w="1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1,500</w:t>
            </w:r>
          </w:p>
        </w:tc>
        <w:tc>
          <w:tcPr>
            <w:tcW w:type="dxa" w:w="1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750</w:t>
            </w:r>
          </w:p>
        </w:tc>
        <w:tc>
          <w:tcPr>
            <w:tcW w:type="dxa" w:w="1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$14,000</w:t>
            </w:r>
          </w:p>
        </w:tc>
      </w:tr>
      <w:tr>
        <w:tc>
          <w:tcPr>
            <w:tcW w:type="dxa" w:w="21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Direct local ads</w:t>
            </w:r>
          </w:p>
        </w:tc>
        <w:tc>
          <w:tcPr>
            <w:tcW w:type="dxa" w:w="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500</w:t>
            </w:r>
          </w:p>
        </w:tc>
        <w:tc>
          <w:tcPr>
            <w:tcW w:type="dxa" w:w="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900</w:t>
            </w:r>
          </w:p>
        </w:tc>
        <w:tc>
          <w:tcPr>
            <w:tcW w:type="dxa" w:w="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1,300</w:t>
            </w:r>
          </w:p>
        </w:tc>
        <w:tc>
          <w:tcPr>
            <w:tcW w:type="dxa" w:w="1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6,300</w:t>
            </w:r>
          </w:p>
        </w:tc>
        <w:tc>
          <w:tcPr>
            <w:tcW w:type="dxa" w:w="1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9,900</w:t>
            </w:r>
          </w:p>
        </w:tc>
        <w:tc>
          <w:tcPr>
            <w:tcW w:type="dxa" w:w="1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13,600</w:t>
            </w:r>
          </w:p>
        </w:tc>
        <w:tc>
          <w:tcPr>
            <w:tcW w:type="dxa" w:w="1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$32,500</w:t>
            </w:r>
          </w:p>
        </w:tc>
      </w:tr>
      <w:tr>
        <w:tc>
          <w:tcPr>
            <w:tcW w:type="dxa" w:w="21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Programmatic</w:t>
            </w:r>
          </w:p>
        </w:tc>
        <w:tc>
          <w:tcPr>
            <w:tcW w:type="dxa" w:w="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100</w:t>
            </w:r>
          </w:p>
        </w:tc>
        <w:tc>
          <w:tcPr>
            <w:tcW w:type="dxa" w:w="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200</w:t>
            </w:r>
          </w:p>
        </w:tc>
        <w:tc>
          <w:tcPr>
            <w:tcW w:type="dxa" w:w="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300</w:t>
            </w:r>
          </w:p>
        </w:tc>
        <w:tc>
          <w:tcPr>
            <w:tcW w:type="dxa" w:w="1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1,600</w:t>
            </w:r>
          </w:p>
        </w:tc>
        <w:tc>
          <w:tcPr>
            <w:tcW w:type="dxa" w:w="1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2,700</w:t>
            </w:r>
          </w:p>
        </w:tc>
        <w:tc>
          <w:tcPr>
            <w:tcW w:type="dxa" w:w="1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4,050</w:t>
            </w:r>
          </w:p>
        </w:tc>
        <w:tc>
          <w:tcPr>
            <w:tcW w:type="dxa" w:w="1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$8,950</w:t>
            </w:r>
          </w:p>
        </w:tc>
      </w:tr>
      <w:tr>
        <w:tc>
          <w:tcPr>
            <w:tcW w:type="dxa" w:w="21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Sponsored content</w:t>
            </w:r>
          </w:p>
        </w:tc>
        <w:tc>
          <w:tcPr>
            <w:tcW w:type="dxa" w:w="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0</w:t>
            </w:r>
          </w:p>
        </w:tc>
        <w:tc>
          <w:tcPr>
            <w:tcW w:type="dxa" w:w="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0</w:t>
            </w:r>
          </w:p>
        </w:tc>
        <w:tc>
          <w:tcPr>
            <w:tcW w:type="dxa" w:w="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500</w:t>
            </w:r>
          </w:p>
        </w:tc>
        <w:tc>
          <w:tcPr>
            <w:tcW w:type="dxa" w:w="1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2,100</w:t>
            </w:r>
          </w:p>
        </w:tc>
        <w:tc>
          <w:tcPr>
            <w:tcW w:type="dxa" w:w="1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3,200</w:t>
            </w:r>
          </w:p>
        </w:tc>
        <w:tc>
          <w:tcPr>
            <w:tcW w:type="dxa" w:w="1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4,200</w:t>
            </w:r>
          </w:p>
        </w:tc>
        <w:tc>
          <w:tcPr>
            <w:tcW w:type="dxa" w:w="1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$10,000</w:t>
            </w:r>
          </w:p>
        </w:tc>
      </w:tr>
      <w:tr>
        <w:tc>
          <w:tcPr>
            <w:tcW w:type="dxa" w:w="21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Events</w:t>
            </w:r>
          </w:p>
        </w:tc>
        <w:tc>
          <w:tcPr>
            <w:tcW w:type="dxa" w:w="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0</w:t>
            </w:r>
          </w:p>
        </w:tc>
        <w:tc>
          <w:tcPr>
            <w:tcW w:type="dxa" w:w="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0</w:t>
            </w:r>
          </w:p>
        </w:tc>
        <w:tc>
          <w:tcPr>
            <w:tcW w:type="dxa" w:w="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100</w:t>
            </w:r>
          </w:p>
        </w:tc>
        <w:tc>
          <w:tcPr>
            <w:tcW w:type="dxa" w:w="1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600</w:t>
            </w:r>
          </w:p>
        </w:tc>
        <w:tc>
          <w:tcPr>
            <w:tcW w:type="dxa" w:w="1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1,100</w:t>
            </w:r>
          </w:p>
        </w:tc>
        <w:tc>
          <w:tcPr>
            <w:tcW w:type="dxa" w:w="1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1,600</w:t>
            </w:r>
          </w:p>
        </w:tc>
        <w:tc>
          <w:tcPr>
            <w:tcW w:type="dxa" w:w="1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$3,400</w:t>
            </w:r>
          </w:p>
        </w:tc>
      </w:tr>
      <w:tr>
        <w:tc>
          <w:tcPr>
            <w:tcW w:type="dxa" w:w="21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Newsletter</w:t>
            </w:r>
          </w:p>
        </w:tc>
        <w:tc>
          <w:tcPr>
            <w:tcW w:type="dxa" w:w="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0</w:t>
            </w:r>
          </w:p>
        </w:tc>
        <w:tc>
          <w:tcPr>
            <w:tcW w:type="dxa" w:w="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100</w:t>
            </w:r>
          </w:p>
        </w:tc>
        <w:tc>
          <w:tcPr>
            <w:tcW w:type="dxa" w:w="9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150</w:t>
            </w:r>
          </w:p>
        </w:tc>
        <w:tc>
          <w:tcPr>
            <w:tcW w:type="dxa" w:w="1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900</w:t>
            </w:r>
          </w:p>
        </w:tc>
        <w:tc>
          <w:tcPr>
            <w:tcW w:type="dxa" w:w="1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1,550</w:t>
            </w:r>
          </w:p>
        </w:tc>
        <w:tc>
          <w:tcPr>
            <w:tcW w:type="dxa" w:w="1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2,150</w:t>
            </w:r>
          </w:p>
        </w:tc>
        <w:tc>
          <w:tcPr>
            <w:tcW w:type="dxa" w:w="1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$4,850</w:t>
            </w:r>
          </w:p>
        </w:tc>
      </w:tr>
      <w:tr>
        <w:tc>
          <w:tcPr>
            <w:tcW w:type="dxa" w:w="21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Total</w:t>
            </w:r>
          </w:p>
        </w:tc>
        <w:tc>
          <w:tcPr>
            <w:tcW w:type="dxa" w:w="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6,600</w:t>
            </w:r>
          </w:p>
        </w:tc>
        <w:tc>
          <w:tcPr>
            <w:tcW w:type="dxa" w:w="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5,200</w:t>
            </w:r>
          </w:p>
        </w:tc>
        <w:tc>
          <w:tcPr>
            <w:tcW w:type="dxa" w:w="9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2,600</w:t>
            </w:r>
          </w:p>
        </w:tc>
        <w:tc>
          <w:tcPr>
            <w:tcW w:type="dxa" w:w="1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13,000</w:t>
            </w:r>
          </w:p>
        </w:tc>
        <w:tc>
          <w:tcPr>
            <w:tcW w:type="dxa" w:w="1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19,950</w:t>
            </w:r>
          </w:p>
        </w:tc>
        <w:tc>
          <w:tcPr>
            <w:tcW w:type="dxa" w:w="1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26,350</w:t>
            </w:r>
          </w:p>
        </w:tc>
        <w:tc>
          <w:tcPr>
            <w:tcW w:type="dxa" w:w="1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$73,700</w:t>
            </w:r>
          </w:p>
        </w:tc>
      </w:tr>
    </w:tbl>
    <w:p>
      <w:pPr>
        <w:spacing w:after="120"/>
      </w:pP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3400"/>
        <w:gridCol w:w="2200"/>
        <w:gridCol w:w="2200"/>
        <w:gridCol w:w="2200"/>
      </w:tblGrid>
      <w:tr>
        <w:trPr>
          <w:tblHeader/>
        </w:trPr>
        <w:tc>
          <w:tcPr>
            <w:tcW w:type="dxa" w:w="34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Scenario</w:t>
            </w:r>
          </w:p>
        </w:tc>
        <w:tc>
          <w:tcPr>
            <w:tcW w:type="dxa" w:w="22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Year 1</w:t>
            </w:r>
          </w:p>
        </w:tc>
        <w:tc>
          <w:tcPr>
            <w:tcW w:type="dxa" w:w="22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Year 2</w:t>
            </w:r>
          </w:p>
        </w:tc>
        <w:tc>
          <w:tcPr>
            <w:tcW w:type="dxa" w:w="22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Year 3</w:t>
            </w:r>
          </w:p>
        </w:tc>
      </w:tr>
      <w:tr>
        <w:tc>
          <w:tcPr>
            <w:tcW w:type="dxa" w:w="34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Conservative (0.55×)</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$40,500</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$74,300</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$110,600</w:t>
            </w:r>
          </w:p>
        </w:tc>
      </w:tr>
      <w:tr>
        <w:tc>
          <w:tcPr>
            <w:tcW w:type="dxa" w:w="34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Base</w:t>
            </w:r>
          </w:p>
        </w:tc>
        <w:tc>
          <w:tcPr>
            <w:tcW w:type="dxa" w:w="2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$73,700</w:t>
            </w:r>
          </w:p>
        </w:tc>
        <w:tc>
          <w:tcPr>
            <w:tcW w:type="dxa" w:w="2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$135,000</w:t>
            </w:r>
          </w:p>
        </w:tc>
        <w:tc>
          <w:tcPr>
            <w:tcW w:type="dxa" w:w="2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$201,100</w:t>
            </w:r>
          </w:p>
        </w:tc>
      </w:tr>
      <w:tr>
        <w:tc>
          <w:tcPr>
            <w:tcW w:type="dxa" w:w="34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Strong (1.7×)</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$125,300</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$229,500</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$341,900</w:t>
            </w:r>
          </w:p>
        </w:tc>
      </w:tr>
    </w:tbl>
    <w:p>
      <w:pPr>
        <w:spacing w:after="120"/>
      </w:pPr>
    </w:p>
    <w:p>
      <w:pPr>
        <w:pStyle w:val="Heading2"/>
        <w:spacing w:after="120" w:before="280"/>
      </w:pPr>
      <w:r>
        <w:rPr>
          <w:rFonts w:ascii="Cambria" w:cs="Cambria" w:eastAsia="Cambria" w:hAnsi="Cambria"/>
          <w:b/>
          <w:bCs/>
          <w:color w:val="1E8A7E"/>
          <w:sz w:val="26"/>
          <w:szCs w:val="26"/>
        </w:rPr>
        <w:t xml:space="preserve">Profitability and distributions (base case)</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3400"/>
        <w:gridCol w:w="2200"/>
        <w:gridCol w:w="2200"/>
        <w:gridCol w:w="2200"/>
      </w:tblGrid>
      <w:tr>
        <w:trPr>
          <w:tblHeader/>
        </w:trPr>
        <w:tc>
          <w:tcPr>
            <w:tcW w:type="dxa" w:w="34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
            </w:r>
          </w:p>
        </w:tc>
        <w:tc>
          <w:tcPr>
            <w:tcW w:type="dxa" w:w="22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Year 1 (FY27)</w:t>
            </w:r>
          </w:p>
        </w:tc>
        <w:tc>
          <w:tcPr>
            <w:tcW w:type="dxa" w:w="22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Year 2 (FY28)</w:t>
            </w:r>
          </w:p>
        </w:tc>
        <w:tc>
          <w:tcPr>
            <w:tcW w:type="dxa" w:w="22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Year 3 (FY29)</w:t>
            </w:r>
          </w:p>
        </w:tc>
      </w:tr>
      <w:tr>
        <w:tc>
          <w:tcPr>
            <w:tcW w:type="dxa" w:w="34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Gross revenue</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$73,700</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$135,000</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$201,100</w:t>
            </w:r>
          </w:p>
        </w:tc>
      </w:tr>
      <w:tr>
        <w:tc>
          <w:tcPr>
            <w:tcW w:type="dxa" w:w="34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Net Revenue (after ~3% fees)</w:t>
            </w:r>
          </w:p>
        </w:tc>
        <w:tc>
          <w:tcPr>
            <w:tcW w:type="dxa" w:w="2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$71,500</w:t>
            </w:r>
          </w:p>
        </w:tc>
        <w:tc>
          <w:tcPr>
            <w:tcW w:type="dxa" w:w="2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$131,000</w:t>
            </w:r>
          </w:p>
        </w:tc>
        <w:tc>
          <w:tcPr>
            <w:tcW w:type="dxa" w:w="2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$195,100</w:t>
            </w:r>
          </w:p>
        </w:tc>
      </w:tr>
      <w:tr>
        <w:tc>
          <w:tcPr>
            <w:tcW w:type="dxa" w:w="34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Fixed operating expenses</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$5,520</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$5,690</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$5,860</w:t>
            </w:r>
          </w:p>
        </w:tc>
      </w:tr>
      <w:tr>
        <w:tc>
          <w:tcPr>
            <w:tcW w:type="dxa" w:w="34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Start-up costs (yr 1)</w:t>
            </w:r>
          </w:p>
        </w:tc>
        <w:tc>
          <w:tcPr>
            <w:tcW w:type="dxa" w:w="2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$1,360</w:t>
            </w:r>
          </w:p>
        </w:tc>
        <w:tc>
          <w:tcPr>
            <w:tcW w:type="dxa" w:w="2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w:t>
            </w:r>
          </w:p>
        </w:tc>
        <w:tc>
          <w:tcPr>
            <w:tcW w:type="dxa" w:w="2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w:t>
            </w:r>
          </w:p>
        </w:tc>
      </w:tr>
      <w:tr>
        <w:tc>
          <w:tcPr>
            <w:tcW w:type="dxa" w:w="34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Business income before distributions</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$64,600</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$125,300</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$189,200</w:t>
            </w:r>
          </w:p>
        </w:tc>
      </w:tr>
      <w:tr>
        <w:tc>
          <w:tcPr>
            <w:tcW w:type="dxa" w:w="34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GM distribution (Option B)</w:t>
            </w:r>
          </w:p>
        </w:tc>
        <w:tc>
          <w:tcPr>
            <w:tcW w:type="dxa" w:w="2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$29,400</w:t>
            </w:r>
          </w:p>
        </w:tc>
        <w:tc>
          <w:tcPr>
            <w:tcW w:type="dxa" w:w="2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$39,300</w:t>
            </w:r>
          </w:p>
        </w:tc>
        <w:tc>
          <w:tcPr>
            <w:tcW w:type="dxa" w:w="2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$58,500</w:t>
            </w:r>
          </w:p>
        </w:tc>
      </w:tr>
      <w:tr>
        <w:tc>
          <w:tcPr>
            <w:tcW w:type="dxa" w:w="34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Retained by founder</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$35,200</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$86,000</w:t>
            </w:r>
          </w:p>
        </w:tc>
        <w:tc>
          <w:tcPr>
            <w:tcW w:type="dxa" w:w="2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$130,700</w:t>
            </w:r>
          </w:p>
        </w:tc>
      </w:tr>
    </w:tbl>
    <w:p>
      <w:pPr>
        <w:spacing w:after="120"/>
      </w:pPr>
    </w:p>
    <w:p>
      <w:pPr>
        <w:spacing w:after="140" w:line="276"/>
      </w:pPr>
      <w:r>
        <w:rPr>
          <w:rFonts w:ascii="Calibri" w:cs="Calibri" w:eastAsia="Calibri" w:hAnsi="Calibri"/>
          <w:b/>
          <w:bCs/>
          <w:color w:val="16181D"/>
          <w:sz w:val="22"/>
          <w:szCs w:val="22"/>
        </w:rPr>
        <w:t xml:space="preserve">Margin structure: </w:t>
      </w:r>
      <w:r>
        <w:rPr>
          <w:rFonts w:ascii="Calibri" w:cs="Calibri" w:eastAsia="Calibri" w:hAnsi="Calibri"/>
          <w:color w:val="16181D"/>
          <w:sz w:val="22"/>
          <w:szCs w:val="22"/>
        </w:rPr>
        <w:t xml:space="preserve">with no cost of goods beyond ~3% payment processing and a fixed cost base of $460 per month, gross margin runs ~97% and the operating margin before distributions reaches 88% in year one and ~94% by year three. The scarce input is labor, which is compensated by the revenue share rather than salary — meaning margins are real cash margins, not artifacts of unpaid work being ignored: the work is priced, in the split.</w:t>
      </w:r>
    </w:p>
    <w:p>
      <w:pPr>
        <w:pStyle w:val="Heading2"/>
        <w:spacing w:after="120" w:before="280"/>
      </w:pPr>
      <w:r>
        <w:rPr>
          <w:rFonts w:ascii="Cambria" w:cs="Cambria" w:eastAsia="Cambria" w:hAnsi="Cambria"/>
          <w:b/>
          <w:bCs/>
          <w:color w:val="1E8A7E"/>
          <w:sz w:val="26"/>
          <w:szCs w:val="26"/>
        </w:rPr>
        <w:t xml:space="preserve">Break-even analysis</w:t>
      </w:r>
    </w:p>
    <w:p>
      <w:pPr>
        <w:spacing w:after="140" w:line="276"/>
      </w:pPr>
      <w:r>
        <w:rPr>
          <w:rFonts w:ascii="Calibri" w:cs="Calibri" w:eastAsia="Calibri" w:hAnsi="Calibri"/>
          <w:color w:val="16181D"/>
          <w:sz w:val="22"/>
          <w:szCs w:val="22"/>
        </w:rPr>
        <w:t xml:space="preserve">Fixed costs of ~$460 per month are covered by ~$475 per month of gross revenue — one small direct-sold sponsorship. Including a founder target draw of $2,000 per month, the hurdle is ~$2,540 of monthly gross revenue, reached in month four of the base case and month seven of the conservative case. The business cannot meaningfully lose money; the risk profile is opportunity cost, not capital loss.</w:t>
      </w:r>
    </w:p>
    <w:p>
      <w:pPr>
        <w:pStyle w:val="Heading2"/>
        <w:spacing w:after="120" w:before="280"/>
      </w:pPr>
      <w:r>
        <w:rPr>
          <w:rFonts w:ascii="Cambria" w:cs="Cambria" w:eastAsia="Cambria" w:hAnsi="Cambria"/>
          <w:b/>
          <w:bCs/>
          <w:color w:val="1E8A7E"/>
          <w:sz w:val="26"/>
          <w:szCs w:val="26"/>
        </w:rPr>
        <w:t xml:space="preserve">Funding strategy</w:t>
      </w:r>
    </w:p>
    <w:p>
      <w:pPr>
        <w:spacing w:after="140" w:line="276"/>
      </w:pPr>
      <w:r>
        <w:rPr>
          <w:rFonts w:ascii="Calibri" w:cs="Calibri" w:eastAsia="Calibri" w:hAnsi="Calibri"/>
          <w:color w:val="16181D"/>
          <w:sz w:val="22"/>
          <w:szCs w:val="22"/>
        </w:rPr>
        <w:t xml:space="preserve">No outside capital is sought. The founder's cash contribution is limited to the ~$1,360 start-up and monthly operating costs until revenue covers them (base case: from month one). The General Manager's build labor is the in-kind investment, priced and recouped through the compensation structure. Surpluses are distributed per the operating agreement after a working-capital floor of $5,000 is maintained; the phase-two products (Brief, podcast, events) are funded from operations only when their first sponsor or cohort covers marginal cost.</w:t>
      </w:r>
    </w:p>
    <w:p>
      <w:pPr>
        <w:pStyle w:val="Heading1"/>
        <w:spacing w:after="160" w:before="400"/>
      </w:pPr>
      <w:r>
        <w:rPr>
          <w:rFonts w:ascii="Cambria" w:cs="Cambria" w:eastAsia="Cambria" w:hAnsi="Cambria"/>
          <w:b/>
          <w:bCs/>
          <w:color w:val="0E2A47"/>
          <w:sz w:val="32"/>
          <w:szCs w:val="32"/>
        </w:rPr>
        <w:t xml:space="preserve">Compensation and Ownership Structure</w:t>
      </w:r>
    </w:p>
    <w:p>
      <w:pPr>
        <w:spacing w:after="140" w:line="276"/>
      </w:pPr>
      <w:r>
        <w:rPr>
          <w:rFonts w:ascii="Calibri" w:cs="Calibri" w:eastAsia="Calibri" w:hAnsi="Calibri"/>
          <w:b/>
          <w:bCs/>
          <w:color w:val="16181D"/>
          <w:sz w:val="22"/>
          <w:szCs w:val="22"/>
        </w:rPr>
        <w:t xml:space="preserve">Premise: no retainer, no cash risk to the founder. </w:t>
      </w:r>
      <w:r>
        <w:rPr>
          <w:rFonts w:ascii="Calibri" w:cs="Calibri" w:eastAsia="Calibri" w:hAnsi="Calibri"/>
          <w:color w:val="16181D"/>
          <w:sz w:val="22"/>
          <w:szCs w:val="22"/>
        </w:rPr>
        <w:t xml:space="preserve">Definitions common to all options: 'Net Revenue' means gross site, newsletter, events, and sponsorship revenue minus direct third-party costs only (payment processing, ad-network fees, hosting/SaaS) — not anyone's time. Both parties see revenue in real time via the shared dashboard; the General Manager delivers a one-page monthly statement produced from the same data.</w:t>
      </w:r>
    </w:p>
    <w:tbl>
      <w:tblPr>
        <w:tblW w:type="dxa" w:w="9960"/>
        <w:tblBorders>
          <w:top w:val="single" w:color="auto" w:sz="4"/>
          <w:left w:val="single" w:color="auto" w:sz="4"/>
          <w:bottom w:val="single" w:color="auto" w:sz="4"/>
          <w:right w:val="single" w:color="auto" w:sz="4"/>
          <w:insideH w:val="single" w:color="auto" w:sz="4"/>
          <w:insideV w:val="single" w:color="auto" w:sz="4"/>
        </w:tblBorders>
      </w:tblPr>
      <w:tblGrid>
        <w:gridCol w:w="2400"/>
        <w:gridCol w:w="4200"/>
        <w:gridCol w:w="3360"/>
      </w:tblGrid>
      <w:tr>
        <w:trPr>
          <w:tblHeader/>
        </w:trPr>
        <w:tc>
          <w:tcPr>
            <w:tcW w:type="dxa" w:w="24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Option</w:t>
            </w:r>
          </w:p>
        </w:tc>
        <w:tc>
          <w:tcPr>
            <w:tcW w:type="dxa" w:w="42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Structure</w:t>
            </w:r>
          </w:p>
        </w:tc>
        <w:tc>
          <w:tcPr>
            <w:tcW w:type="dxa" w:w="336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Notes</w:t>
            </w:r>
          </w:p>
        </w:tc>
      </w:tr>
      <w:tr>
        <w:tc>
          <w:tcPr>
            <w:tcW w:type="dxa" w:w="24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 — Straight share</w:t>
            </w:r>
          </w:p>
        </w:tc>
        <w:tc>
          <w:tcPr>
            <w:tcW w:type="dxa" w:w="4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40% of Net Revenue to GM months 1–24, then 30%; reviewed at 24 months</w:t>
            </w:r>
          </w:p>
        </w:tc>
        <w:tc>
          <w:tcPr>
            <w:tcW w:type="dxa" w:w="33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Simplest; founder keeps 60–70% plus the entire asset</w:t>
            </w:r>
          </w:p>
        </w:tc>
      </w:tr>
      <w:tr>
        <w:tc>
          <w:tcPr>
            <w:tcW w:type="dxa" w:w="24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B — Recoup, then share (recommended)</w:t>
            </w:r>
          </w:p>
        </w:tc>
        <w:tc>
          <w:tcPr>
            <w:tcW w:type="dxa" w:w="4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Build valued at an agreed $15k–$25k (in-kind, not cash); 50% of Net Revenue until recouped, then 30% ongoing</w:t>
            </w:r>
          </w:p>
        </w:tc>
        <w:tc>
          <w:tcPr>
            <w:tcW w:type="dxa" w:w="33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Prices the up-front risk, then settles into a sustainable split; base case recoups by ~month 9 (June 2027)</w:t>
            </w:r>
          </w:p>
        </w:tc>
      </w:tr>
      <w:tr>
        <w:tc>
          <w:tcPr>
            <w:tcW w:type="dxa" w:w="24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C — Equity partnership</w:t>
            </w:r>
          </w:p>
        </w:tc>
        <w:tc>
          <w:tcPr>
            <w:tcW w:type="dxa" w:w="4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Founder contributes brand/accounts/domains; GM contributes build and commercial operation; 60/40–70/30 founder-majority, GM interest vesting over 24 months</w:t>
            </w:r>
          </w:p>
        </w:tc>
        <w:tc>
          <w:tcPr>
            <w:tcW w:type="dxa" w:w="33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Deepest alignment; GM title becomes Managing Partner &amp; GM</w:t>
            </w:r>
          </w:p>
        </w:tc>
      </w:tr>
    </w:tbl>
    <w:p>
      <w:pPr>
        <w:spacing w:after="120"/>
      </w:pPr>
    </w:p>
    <w:p>
      <w:pPr>
        <w:spacing w:after="140" w:line="276"/>
      </w:pPr>
      <w:r>
        <w:rPr>
          <w:rFonts w:ascii="Calibri" w:cs="Calibri" w:eastAsia="Calibri" w:hAnsi="Calibri"/>
          <w:b/>
          <w:bCs/>
          <w:color w:val="16181D"/>
          <w:sz w:val="22"/>
          <w:szCs w:val="22"/>
        </w:rPr>
        <w:t xml:space="preserve">Guardrails (all options): </w:t>
      </w:r>
      <w:r>
        <w:rPr>
          <w:rFonts w:ascii="Calibri" w:cs="Calibri" w:eastAsia="Calibri" w:hAnsi="Calibri"/>
          <w:color w:val="16181D"/>
          <w:sz w:val="22"/>
          <w:szCs w:val="22"/>
        </w:rPr>
        <w:t xml:space="preserve">12-month initial term, auto-renewing, 60-day exit; on exit a 12-month declining tail (~15%) on recurring contracts the GM sold; brand and content belong to the founder (A/B) or the LLC (C); the platform stack is standard and portable; the Publisher holds final editorial authority; the published ethics policies bind both parties; neither party's share is computed on the other's outside business.</w:t>
      </w:r>
    </w:p>
    <w:p>
      <w:pPr>
        <w:pStyle w:val="Heading1"/>
        <w:spacing w:after="160" w:before="400"/>
      </w:pPr>
      <w:r>
        <w:rPr>
          <w:rFonts w:ascii="Cambria" w:cs="Cambria" w:eastAsia="Cambria" w:hAnsi="Cambria"/>
          <w:b/>
          <w:bCs/>
          <w:color w:val="0E2A47"/>
          <w:sz w:val="32"/>
          <w:szCs w:val="32"/>
        </w:rPr>
        <w:t xml:space="preserve">Risk Analysis and Mitigation</w:t>
      </w:r>
    </w:p>
    <w:tbl>
      <w:tblPr>
        <w:tblW w:type="dxa" w:w="9960"/>
        <w:tblBorders>
          <w:top w:val="single" w:color="auto" w:sz="4"/>
          <w:left w:val="single" w:color="auto" w:sz="4"/>
          <w:bottom w:val="single" w:color="auto" w:sz="4"/>
          <w:right w:val="single" w:color="auto" w:sz="4"/>
          <w:insideH w:val="single" w:color="auto" w:sz="4"/>
          <w:insideV w:val="single" w:color="auto" w:sz="4"/>
        </w:tblBorders>
      </w:tblPr>
      <w:tblGrid>
        <w:gridCol w:w="2600"/>
        <w:gridCol w:w="1700"/>
        <w:gridCol w:w="5660"/>
      </w:tblGrid>
      <w:tr>
        <w:trPr>
          <w:tblHeader/>
        </w:trPr>
        <w:tc>
          <w:tcPr>
            <w:tcW w:type="dxa" w:w="26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Risk</w:t>
            </w:r>
          </w:p>
        </w:tc>
        <w:tc>
          <w:tcPr>
            <w:tcW w:type="dxa" w:w="17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Likelihood / impact</w:t>
            </w:r>
          </w:p>
        </w:tc>
        <w:tc>
          <w:tcPr>
            <w:tcW w:type="dxa" w:w="566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Mitigation</w:t>
            </w:r>
          </w:p>
        </w:tc>
      </w:tr>
      <w:tr>
        <w:tc>
          <w:tcPr>
            <w:tcW w:type="dxa" w:w="26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Launch slips past the election window</w:t>
            </w:r>
          </w:p>
        </w:tc>
        <w:tc>
          <w:tcPr>
            <w:tcW w:type="dxa" w:w="17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Low / High</w:t>
            </w:r>
          </w:p>
        </w:tc>
        <w:tc>
          <w:tcPr>
            <w:tcW w:type="dxa" w:w="56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Two-week sprint targets Sept 8, six weeks of slack before Nov 3; rate card and political templates finished before the site; the business works without cycle money — it is upside, not foundation</w:t>
            </w:r>
          </w:p>
        </w:tc>
      </w:tr>
      <w:tr>
        <w:tc>
          <w:tcPr>
            <w:tcW w:type="dxa" w:w="26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Social algorithm change cuts top-of-funnel reach</w:t>
            </w:r>
          </w:p>
        </w:tc>
        <w:tc>
          <w:tcPr>
            <w:tcW w:type="dxa" w:w="17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Medium / High</w:t>
            </w:r>
          </w:p>
        </w:tc>
        <w:tc>
          <w:tcPr>
            <w:tcW w:type="dxa" w:w="56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The entire strategy converts rented reach to owned assets (email, direct traffic, SEO) from day one; newsletter subscribers are the #1 KPI</w:t>
            </w:r>
          </w:p>
        </w:tc>
      </w:tr>
      <w:tr>
        <w:tc>
          <w:tcPr>
            <w:tcW w:type="dxa" w:w="26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AdSense approval delay or news-content demonetization</w:t>
            </w:r>
          </w:p>
        </w:tc>
        <w:tc>
          <w:tcPr>
            <w:tcW w:type="dxa" w:w="17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Medium / Low</w:t>
            </w:r>
          </w:p>
        </w:tc>
        <w:tc>
          <w:tcPr>
            <w:tcW w:type="dxa" w:w="56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Programmatic is the floor, never the plan; direct-first revenue mix; fallback chain shows house ads; premium-network path at scale</w:t>
            </w:r>
          </w:p>
        </w:tc>
      </w:tr>
      <w:tr>
        <w:tc>
          <w:tcPr>
            <w:tcW w:type="dxa" w:w="26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Advertiser hesitancy toward news adjacency</w:t>
            </w:r>
          </w:p>
        </w:tc>
        <w:tc>
          <w:tcPr>
            <w:tcW w:type="dxa" w:w="17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Medium / Medium</w:t>
            </w:r>
          </w:p>
        </w:tc>
        <w:tc>
          <w:tcPr>
            <w:tcW w:type="dxa" w:w="56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Neutral service-first posture; brand-safe verticals; published ethics; direct relationships and monthly delivery reporting</w:t>
            </w:r>
          </w:p>
        </w:tc>
      </w:tr>
      <w:tr>
        <w:tc>
          <w:tcPr>
            <w:tcW w:type="dxa" w:w="26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Defamation claim</w:t>
            </w:r>
          </w:p>
        </w:tc>
        <w:tc>
          <w:tcPr>
            <w:tcW w:type="dxa" w:w="17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Low / High</w:t>
            </w:r>
          </w:p>
        </w:tc>
        <w:tc>
          <w:tcPr>
            <w:tcW w:type="dxa" w:w="56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Media liability insurance from launch; primary-document sourcing; pre-publication review of accusatory claims; corrections protocol (below); the Landmine suit is the cautionary case</w:t>
            </w:r>
          </w:p>
        </w:tc>
      </w:tr>
      <w:tr>
        <w:tc>
          <w:tcPr>
            <w:tcW w:type="dxa" w:w="26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Publisher conflict-of-interest attack</w:t>
            </w:r>
          </w:p>
        </w:tc>
        <w:tc>
          <w:tcPr>
            <w:tcW w:type="dxa" w:w="17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Medium / Medium</w:t>
            </w:r>
          </w:p>
        </w:tc>
        <w:tc>
          <w:tcPr>
            <w:tcW w:type="dxa" w:w="56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Standing disclosure page; firewall procedure (GM edits stories touching the Publisher's interests); mortgage brand advertises only via public rate card</w:t>
            </w:r>
          </w:p>
        </w:tc>
      </w:tr>
      <w:tr>
        <w:tc>
          <w:tcPr>
            <w:tcW w:type="dxa" w:w="26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Election-cycle revenue concentration</w:t>
            </w:r>
          </w:p>
        </w:tc>
        <w:tc>
          <w:tcPr>
            <w:tcW w:type="dxa" w:w="17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Medium / Medium</w:t>
            </w:r>
          </w:p>
        </w:tc>
        <w:tc>
          <w:tcPr>
            <w:tcW w:type="dxa" w:w="56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Political is cycle-averaged at under 20% of base-case revenue; the six-line stack diversifies; off-cycle plan leans on housing/energy advertisers whose demand is structural</w:t>
            </w:r>
          </w:p>
        </w:tc>
      </w:tr>
      <w:tr>
        <w:tc>
          <w:tcPr>
            <w:tcW w:type="dxa" w:w="26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Key-person dependence (either member)</w:t>
            </w:r>
          </w:p>
        </w:tc>
        <w:tc>
          <w:tcPr>
            <w:tcW w:type="dxa" w:w="17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Medium / High</w:t>
            </w:r>
          </w:p>
        </w:tc>
        <w:tc>
          <w:tcPr>
            <w:tcW w:type="dxa" w:w="56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Operating agreement exit terms with contract tail; documented SOPs; portable stack; both members hold all credentials</w:t>
            </w:r>
          </w:p>
        </w:tc>
      </w:tr>
      <w:tr>
        <w:tc>
          <w:tcPr>
            <w:tcW w:type="dxa" w:w="26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Traffic growth underperforms</w:t>
            </w:r>
          </w:p>
        </w:tc>
        <w:tc>
          <w:tcPr>
            <w:tcW w:type="dxa" w:w="17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Medium / Medium</w:t>
            </w:r>
          </w:p>
        </w:tc>
        <w:tc>
          <w:tcPr>
            <w:tcW w:type="dxa" w:w="56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Conservative scenario (0.55×) still clears breakeven month two and yields ~$40k year one; fixed costs are too small to force a shutdown decision</w:t>
            </w:r>
          </w:p>
        </w:tc>
      </w:tr>
    </w:tbl>
    <w:p>
      <w:pPr>
        <w:spacing w:after="120"/>
      </w:pPr>
    </w:p>
    <w:p>
      <w:pPr>
        <w:pStyle w:val="Heading2"/>
        <w:spacing w:after="120" w:before="280"/>
      </w:pPr>
      <w:r>
        <w:rPr>
          <w:rFonts w:ascii="Cambria" w:cs="Cambria" w:eastAsia="Cambria" w:hAnsi="Cambria"/>
          <w:b/>
          <w:bCs/>
          <w:color w:val="1E8A7E"/>
          <w:sz w:val="26"/>
          <w:szCs w:val="26"/>
        </w:rPr>
        <w:t xml:space="preserve">Editorial emergency response</w:t>
      </w:r>
    </w:p>
    <w:p>
      <w:pPr>
        <w:spacing w:after="140" w:line="276"/>
      </w:pPr>
      <w:r>
        <w:rPr>
          <w:rFonts w:ascii="Calibri" w:cs="Calibri" w:eastAsia="Calibri" w:hAnsi="Calibri"/>
          <w:color w:val="16181D"/>
          <w:sz w:val="22"/>
          <w:szCs w:val="22"/>
        </w:rPr>
        <w:t xml:space="preserve">A defined protocol governs the worst week: on receipt of a legal demand or the discovery of a material error, the story is reviewed same-day against its sourcing; genuine errors are corrected in place with a dated note and flagged in the next newsletter; the insurer is notified per policy terms before any substantive response to a demand letter; and neither member communicates about the matter except through the agreed process. Retractions are decided by the Publisher with documented reasoning. The public corrections log is maintained without exception — the record of fixing mistakes honestly is worth more than the appearance of never making any.</w:t>
      </w:r>
    </w:p>
    <w:p>
      <w:pPr>
        <w:pStyle w:val="Heading1"/>
        <w:spacing w:after="160" w:before="400"/>
      </w:pPr>
      <w:r>
        <w:rPr>
          <w:rFonts w:ascii="Cambria" w:cs="Cambria" w:eastAsia="Cambria" w:hAnsi="Cambria"/>
          <w:b/>
          <w:bCs/>
          <w:color w:val="0E2A47"/>
          <w:sz w:val="32"/>
          <w:szCs w:val="32"/>
        </w:rPr>
        <w:t xml:space="preserve">Appendix A: 90-Day Execution Checklist</w:t>
      </w:r>
    </w:p>
    <w:p>
      <w:pPr>
        <w:pStyle w:val="ListParagraph"/>
        <w:numPr>
          <w:ilvl w:val="0"/>
          <w:numId w:val="2"/>
        </w:numPr>
        <w:spacing w:after="80" w:line="276"/>
      </w:pPr>
      <w:r>
        <w:rPr>
          <w:rFonts w:ascii="Calibri" w:cs="Calibri" w:eastAsia="Calibri" w:hAnsi="Calibri"/>
          <w:color w:val="16181D"/>
          <w:sz w:val="22"/>
          <w:szCs w:val="22"/>
        </w:rPr>
        <w:t xml:space="preserve">Days 0–2: sign MOU; file Articles of Organization online ($250, same day) + business license ($50); free EIN same day; bank account; registered agent + business mail (~$50/mo); pull platform analytics; secure dailyalaska.com; request insurance quotes; build the 100-name prospect list.</w:t>
      </w:r>
    </w:p>
    <w:p>
      <w:pPr>
        <w:pStyle w:val="ListParagraph"/>
        <w:numPr>
          <w:ilvl w:val="0"/>
          <w:numId w:val="2"/>
        </w:numPr>
        <w:spacing w:after="80" w:line="276"/>
      </w:pPr>
      <w:r>
        <w:rPr>
          <w:rFonts w:ascii="Calibri" w:cs="Calibri" w:eastAsia="Calibri" w:hAnsi="Calibri"/>
          <w:color w:val="16181D"/>
          <w:sz w:val="22"/>
          <w:szCs w:val="22"/>
        </w:rPr>
        <w:t xml:space="preserve">Days 1–14 (parallel): Lovable build sprint per the Ad Stack Technical Specification — site, admin console, first-party ad server, political-ad archive, events, newsletter, trackers, SEO layer, 30 seed articles; AdSense application submitted on day 8.</w:t>
      </w:r>
    </w:p>
    <w:p>
      <w:pPr>
        <w:pStyle w:val="ListParagraph"/>
        <w:numPr>
          <w:ilvl w:val="0"/>
          <w:numId w:val="2"/>
        </w:numPr>
        <w:spacing w:after="80" w:line="276"/>
      </w:pPr>
      <w:r>
        <w:rPr>
          <w:rFonts w:ascii="Calibri" w:cs="Calibri" w:eastAsia="Calibri" w:hAnsi="Calibri"/>
          <w:color w:val="16181D"/>
          <w:sz w:val="22"/>
          <w:szCs w:val="22"/>
        </w:rPr>
        <w:t xml:space="preserve">≈ September 8: launch. Political outreach worked daily; first delivery reports to advertisers within seven days of each campaign start.</w:t>
      </w:r>
    </w:p>
    <w:p>
      <w:pPr>
        <w:pStyle w:val="ListParagraph"/>
        <w:numPr>
          <w:ilvl w:val="0"/>
          <w:numId w:val="2"/>
        </w:numPr>
        <w:spacing w:after="80" w:line="276"/>
      </w:pPr>
      <w:r>
        <w:rPr>
          <w:rFonts w:ascii="Calibri" w:cs="Calibri" w:eastAsia="Calibri" w:hAnsi="Calibri"/>
          <w:color w:val="16181D"/>
          <w:sz w:val="22"/>
          <w:szCs w:val="22"/>
        </w:rPr>
        <w:t xml:space="preserve">Sept–Nov 3: political sales sprint + daily election, energy, and housing coverage. Nov–Dec: convert election traffic to subscribers; anchor-advertiser cycle for Q1 2027; first advertiser case study published.</w:t>
      </w:r>
    </w:p>
    <w:p>
      <w:pPr>
        <w:pStyle w:val="Heading1"/>
        <w:spacing w:after="160" w:before="400"/>
      </w:pPr>
      <w:r>
        <w:rPr>
          <w:rFonts w:ascii="Cambria" w:cs="Cambria" w:eastAsia="Cambria" w:hAnsi="Cambria"/>
          <w:b/>
          <w:bCs/>
          <w:color w:val="0E2A47"/>
          <w:sz w:val="32"/>
          <w:szCs w:val="32"/>
        </w:rPr>
        <w:t xml:space="preserve">Appendix C: Audience Baseline (August 25, 2026)</w:t>
      </w:r>
    </w:p>
    <w:p>
      <w:pPr>
        <w:spacing w:after="140" w:line="276"/>
      </w:pPr>
      <w:r>
        <w:rPr>
          <w:rFonts w:ascii="Calibri" w:cs="Calibri" w:eastAsia="Calibri" w:hAnsi="Calibri"/>
          <w:color w:val="16181D"/>
          <w:sz w:val="22"/>
          <w:szCs w:val="22"/>
        </w:rPr>
        <w:t xml:space="preserve">Collected from platform data via authenticated session, August 25, 2026. Full datasets accompany this plan in the project repository.</w:t>
      </w:r>
    </w:p>
    <w:tbl>
      <w:tblPr>
        <w:tblW w:type="dxa" w:w="9960"/>
        <w:tblBorders>
          <w:top w:val="single" w:color="auto" w:sz="4"/>
          <w:left w:val="single" w:color="auto" w:sz="4"/>
          <w:bottom w:val="single" w:color="auto" w:sz="4"/>
          <w:right w:val="single" w:color="auto" w:sz="4"/>
          <w:insideH w:val="single" w:color="auto" w:sz="4"/>
          <w:insideV w:val="single" w:color="auto" w:sz="4"/>
        </w:tblBorders>
      </w:tblPr>
      <w:tblGrid>
        <w:gridCol w:w="3300"/>
        <w:gridCol w:w="3200"/>
        <w:gridCol w:w="3460"/>
      </w:tblGrid>
      <w:tr>
        <w:trPr>
          <w:tblHeader/>
        </w:trPr>
        <w:tc>
          <w:tcPr>
            <w:tcW w:type="dxa" w:w="33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Metric</w:t>
            </w:r>
          </w:p>
        </w:tc>
        <w:tc>
          <w:tcPr>
            <w:tcW w:type="dxa" w:w="32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TikTok @thedailyalaska</w:t>
            </w:r>
          </w:p>
        </w:tc>
        <w:tc>
          <w:tcPr>
            <w:tcW w:type="dxa" w:w="346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Facebook /Thedailyalaska</w:t>
            </w:r>
          </w:p>
        </w:tc>
      </w:tr>
      <w:tr>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Followers</w:t>
            </w:r>
          </w:p>
        </w:tc>
        <w:tc>
          <w:tcPr>
            <w:tcW w:type="dxa" w:w="3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10,903</w:t>
            </w:r>
          </w:p>
        </w:tc>
        <w:tc>
          <w:tcPr>
            <w:tcW w:type="dxa" w:w="34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~13,000</w:t>
            </w:r>
          </w:p>
        </w:tc>
      </w:tr>
      <w:tr>
        <w:tc>
          <w:tcPr>
            <w:tcW w:type="dxa" w:w="3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Account age</w:t>
            </w:r>
          </w:p>
        </w:tc>
        <w:tc>
          <w:tcPr>
            <w:tcW w:type="dxa" w:w="3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Since June 13, 2025</w:t>
            </w:r>
          </w:p>
        </w:tc>
        <w:tc>
          <w:tcPr>
            <w:tcW w:type="dxa" w:w="34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w:t>
            </w:r>
          </w:p>
        </w:tc>
      </w:tr>
      <w:tr>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Videos / reels published</w:t>
            </w:r>
          </w:p>
        </w:tc>
        <w:tc>
          <w:tcPr>
            <w:tcW w:type="dxa" w:w="3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507</w:t>
            </w:r>
          </w:p>
        </w:tc>
        <w:tc>
          <w:tcPr>
            <w:tcW w:type="dxa" w:w="34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448</w:t>
            </w:r>
          </w:p>
        </w:tc>
      </w:tr>
      <w:tr>
        <w:tc>
          <w:tcPr>
            <w:tcW w:type="dxa" w:w="3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Total views</w:t>
            </w:r>
          </w:p>
        </w:tc>
        <w:tc>
          <w:tcPr>
            <w:tcW w:type="dxa" w:w="3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3,388,385</w:t>
            </w:r>
          </w:p>
        </w:tc>
        <w:tc>
          <w:tcPr>
            <w:tcW w:type="dxa" w:w="34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5,523,908</w:t>
            </w:r>
          </w:p>
        </w:tc>
      </w:tr>
      <w:tr>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Average views per post</w:t>
            </w:r>
          </w:p>
        </w:tc>
        <w:tc>
          <w:tcPr>
            <w:tcW w:type="dxa" w:w="3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6,683</w:t>
            </w:r>
          </w:p>
        </w:tc>
        <w:tc>
          <w:tcPr>
            <w:tcW w:type="dxa" w:w="34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12,330</w:t>
            </w:r>
          </w:p>
        </w:tc>
      </w:tr>
      <w:tr>
        <w:tc>
          <w:tcPr>
            <w:tcW w:type="dxa" w:w="3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Median views per post</w:t>
            </w:r>
          </w:p>
        </w:tc>
        <w:tc>
          <w:tcPr>
            <w:tcW w:type="dxa" w:w="3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3,803</w:t>
            </w:r>
          </w:p>
        </w:tc>
        <w:tc>
          <w:tcPr>
            <w:tcW w:type="dxa" w:w="34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508</w:t>
            </w:r>
          </w:p>
        </w:tc>
      </w:tr>
      <w:tr>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Posts ≥ 10,000 views</w:t>
            </w:r>
          </w:p>
        </w:tc>
        <w:tc>
          <w:tcPr>
            <w:tcW w:type="dxa" w:w="3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98</w:t>
            </w:r>
          </w:p>
        </w:tc>
        <w:tc>
          <w:tcPr>
            <w:tcW w:type="dxa" w:w="34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109</w:t>
            </w:r>
          </w:p>
        </w:tc>
      </w:tr>
      <w:tr>
        <w:tc>
          <w:tcPr>
            <w:tcW w:type="dxa" w:w="3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Posts ≥ 100,000 views</w:t>
            </w:r>
          </w:p>
        </w:tc>
        <w:tc>
          <w:tcPr>
            <w:tcW w:type="dxa" w:w="3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0</w:t>
            </w:r>
          </w:p>
        </w:tc>
        <w:tc>
          <w:tcPr>
            <w:tcW w:type="dxa" w:w="34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8</w:t>
            </w:r>
          </w:p>
        </w:tc>
      </w:tr>
      <w:tr>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Best-performing post</w:t>
            </w:r>
          </w:p>
        </w:tc>
        <w:tc>
          <w:tcPr>
            <w:tcW w:type="dxa" w:w="3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89,700 (PFD petition)</w:t>
            </w:r>
          </w:p>
        </w:tc>
        <w:tc>
          <w:tcPr>
            <w:tcW w:type="dxa" w:w="34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627,000 (May 3, 2026)</w:t>
            </w:r>
          </w:p>
        </w:tc>
      </w:tr>
      <w:tr>
        <w:tc>
          <w:tcPr>
            <w:tcW w:type="dxa" w:w="3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Total likes / interactions</w:t>
            </w:r>
          </w:p>
        </w:tc>
        <w:tc>
          <w:tcPr>
            <w:tcW w:type="dxa" w:w="32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196,647 likes</w:t>
            </w:r>
          </w:p>
        </w:tc>
        <w:tc>
          <w:tcPr>
            <w:tcW w:type="dxa" w:w="346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~90,900 reactions+comments+shares</w:t>
            </w:r>
          </w:p>
        </w:tc>
      </w:tr>
      <w:tr>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Engagement rate (dated reels)</w:t>
            </w:r>
          </w:p>
        </w:tc>
        <w:tc>
          <w:tcPr>
            <w:tcW w:type="dxa" w:w="32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w:t>
            </w:r>
          </w:p>
        </w:tc>
        <w:tc>
          <w:tcPr>
            <w:tcW w:type="dxa" w:w="346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1.9% of views</w:t>
            </w:r>
          </w:p>
        </w:tc>
      </w:tr>
    </w:tbl>
    <w:p>
      <w:pPr>
        <w:spacing w:after="120"/>
      </w:pPr>
    </w:p>
    <w:tbl>
      <w:tblPr>
        <w:tblW w:type="dxa" w:w="8700"/>
        <w:tblBorders>
          <w:top w:val="single" w:color="auto" w:sz="4"/>
          <w:left w:val="single" w:color="auto" w:sz="4"/>
          <w:bottom w:val="single" w:color="auto" w:sz="4"/>
          <w:right w:val="single" w:color="auto" w:sz="4"/>
          <w:insideH w:val="single" w:color="auto" w:sz="4"/>
          <w:insideV w:val="single" w:color="auto" w:sz="4"/>
        </w:tblBorders>
      </w:tblPr>
      <w:tblGrid>
        <w:gridCol w:w="3300"/>
        <w:gridCol w:w="3400"/>
        <w:gridCol w:w="2000"/>
      </w:tblGrid>
      <w:tr>
        <w:trPr>
          <w:tblHeader/>
        </w:trPr>
        <w:tc>
          <w:tcPr>
            <w:tcW w:type="dxa" w:w="33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Month (2026)</w:t>
            </w:r>
          </w:p>
        </w:tc>
        <w:tc>
          <w:tcPr>
            <w:tcW w:type="dxa" w:w="34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Facebook views (dated reels)</w:t>
            </w:r>
          </w:p>
        </w:tc>
        <w:tc>
          <w:tcPr>
            <w:tcW w:type="dxa" w:w="2000"/>
            <w:shd w:fill="0E2A47" w:val="clear"/>
            <w:tcMar>
              <w:top w:type="dxa" w:w="60"/>
              <w:left w:type="dxa" w:w="100"/>
              <w:bottom w:type="dxa" w:w="60"/>
              <w:right w:type="dxa" w:w="100"/>
            </w:tcMar>
          </w:tcPr>
          <w:p>
            <w:pPr>
              <w:spacing w:after="40"/>
            </w:pPr>
            <w:r>
              <w:rPr>
                <w:rFonts w:ascii="Calibri" w:cs="Calibri" w:eastAsia="Calibri" w:hAnsi="Calibri"/>
                <w:b/>
                <w:bCs/>
                <w:color w:val="FFFFFF"/>
                <w:sz w:val="20"/>
                <w:szCs w:val="20"/>
              </w:rPr>
              <w:t xml:space="preserve">Reels posted</w:t>
            </w:r>
          </w:p>
        </w:tc>
      </w:tr>
      <w:tr>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April</w:t>
            </w:r>
          </w:p>
        </w:tc>
        <w:tc>
          <w:tcPr>
            <w:tcW w:type="dxa" w:w="34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756,815</w:t>
            </w:r>
          </w:p>
        </w:tc>
        <w:tc>
          <w:tcPr>
            <w:tcW w:type="dxa" w:w="20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22</w:t>
            </w:r>
          </w:p>
        </w:tc>
      </w:tr>
      <w:tr>
        <w:tc>
          <w:tcPr>
            <w:tcW w:type="dxa" w:w="3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May</w:t>
            </w:r>
          </w:p>
        </w:tc>
        <w:tc>
          <w:tcPr>
            <w:tcW w:type="dxa" w:w="34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2,085,185</w:t>
            </w:r>
          </w:p>
        </w:tc>
        <w:tc>
          <w:tcPr>
            <w:tcW w:type="dxa" w:w="20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36</w:t>
            </w:r>
          </w:p>
        </w:tc>
      </w:tr>
      <w:tr>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June</w:t>
            </w:r>
          </w:p>
        </w:tc>
        <w:tc>
          <w:tcPr>
            <w:tcW w:type="dxa" w:w="34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796,386</w:t>
            </w:r>
          </w:p>
        </w:tc>
        <w:tc>
          <w:tcPr>
            <w:tcW w:type="dxa" w:w="20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37</w:t>
            </w:r>
          </w:p>
        </w:tc>
      </w:tr>
      <w:tr>
        <w:tc>
          <w:tcPr>
            <w:tcW w:type="dxa" w:w="33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July</w:t>
            </w:r>
          </w:p>
        </w:tc>
        <w:tc>
          <w:tcPr>
            <w:tcW w:type="dxa" w:w="34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571,298</w:t>
            </w:r>
          </w:p>
        </w:tc>
        <w:tc>
          <w:tcPr>
            <w:tcW w:type="dxa" w:w="2000"/>
            <w:shd w:fill="F0F3F5" w:val="clear"/>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36</w:t>
            </w:r>
          </w:p>
        </w:tc>
      </w:tr>
      <w:tr>
        <w:tc>
          <w:tcPr>
            <w:tcW w:type="dxa" w:w="33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August (through 8/25)</w:t>
            </w:r>
          </w:p>
        </w:tc>
        <w:tc>
          <w:tcPr>
            <w:tcW w:type="dxa" w:w="34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663,900</w:t>
            </w:r>
          </w:p>
        </w:tc>
        <w:tc>
          <w:tcPr>
            <w:tcW w:type="dxa" w:w="2000"/>
            <w:tcMar>
              <w:top w:type="dxa" w:w="60"/>
              <w:left w:type="dxa" w:w="100"/>
              <w:bottom w:type="dxa" w:w="60"/>
              <w:right w:type="dxa" w:w="100"/>
            </w:tcMar>
          </w:tcPr>
          <w:p>
            <w:pPr>
              <w:spacing w:after="40"/>
            </w:pPr>
            <w:r>
              <w:rPr>
                <w:rFonts w:ascii="Calibri" w:cs="Calibri" w:eastAsia="Calibri" w:hAnsi="Calibri"/>
                <w:b w:val="false"/>
                <w:bCs w:val="false"/>
                <w:color w:val="16181D"/>
                <w:sz w:val="20"/>
                <w:szCs w:val="20"/>
              </w:rPr>
              <w:t xml:space="preserve">34</w:t>
            </w:r>
          </w:p>
        </w:tc>
      </w:tr>
    </w:tbl>
    <w:p>
      <w:pPr>
        <w:spacing w:after="120"/>
      </w:pPr>
    </w:p>
    <w:p>
      <w:pPr>
        <w:spacing w:after="140" w:line="276"/>
      </w:pPr>
      <w:r>
        <w:rPr>
          <w:rFonts w:ascii="Calibri" w:cs="Calibri" w:eastAsia="Calibri" w:hAnsi="Calibri"/>
          <w:b/>
          <w:bCs/>
          <w:color w:val="16181D"/>
          <w:sz w:val="22"/>
          <w:szCs w:val="22"/>
        </w:rPr>
        <w:t xml:space="preserve">Reading the numbers: </w:t>
      </w:r>
      <w:r>
        <w:rPr>
          <w:rFonts w:ascii="Calibri" w:cs="Calibri" w:eastAsia="Calibri" w:hAnsi="Calibri"/>
          <w:color w:val="16181D"/>
          <w:sz w:val="22"/>
          <w:szCs w:val="22"/>
        </w:rPr>
        <w:t xml:space="preserve">combined lifetime reach is approximately 8.9 million video views across 955 posts — about 24,000 followers — with recent combined monthly viewership in the 700,000–1,000,000 range. Facebook is the reach engine and skews to the older, local, advertiser-relevant audience; TikTok is the consistency engine with a steadier per-video floor. The month-to-month swing on Facebook (2.09M in May, 571K in July, identical effort) is the single best argument in this plan: the audience is real, and it is rented. The politics-adjacent posts (the PFD petition at 89,700 views is TikTok’s best performer) confirm the election window’s draw; the events and food content confirm the calendar’s. The existing media kit link in the TikTok bio shows sponsor interest is already being fielded informally — formalizing it is this plan.</w:t>
      </w:r>
    </w:p>
    <w:p>
      <w:pPr>
        <w:pStyle w:val="Heading1"/>
        <w:spacing w:after="160" w:before="400"/>
      </w:pPr>
      <w:r>
        <w:rPr>
          <w:rFonts w:ascii="Cambria" w:cs="Cambria" w:eastAsia="Cambria" w:hAnsi="Cambria"/>
          <w:b/>
          <w:bCs/>
          <w:color w:val="0E2A47"/>
          <w:sz w:val="32"/>
          <w:szCs w:val="32"/>
        </w:rPr>
        <w:t xml:space="preserve">Appendix B: Reference Documents</w:t>
      </w:r>
    </w:p>
    <w:p>
      <w:pPr>
        <w:pStyle w:val="ListParagraph"/>
        <w:numPr>
          <w:ilvl w:val="0"/>
          <w:numId w:val="2"/>
        </w:numPr>
        <w:spacing w:after="80" w:line="276"/>
      </w:pPr>
      <w:r>
        <w:rPr>
          <w:rFonts w:ascii="Calibri" w:cs="Calibri" w:eastAsia="Calibri" w:hAnsi="Calibri"/>
          <w:i/>
          <w:iCs/>
          <w:color w:val="16181D"/>
          <w:sz w:val="22"/>
          <w:szCs w:val="22"/>
        </w:rPr>
        <w:t xml:space="preserve">THE DAILY ALASKA FINANCIAL PROJECTIONS.xlsx</w:t>
      </w:r>
      <w:r>
        <w:rPr>
          <w:rFonts w:ascii="Calibri" w:cs="Calibri" w:eastAsia="Calibri" w:hAnsi="Calibri"/>
          <w:color w:val="16181D"/>
          <w:sz w:val="22"/>
          <w:szCs w:val="22"/>
        </w:rPr>
        <w:t xml:space="preserve"> — integrated three-year model (SBDC-structured) with scenario switch and revenue-share computation.</w:t>
      </w:r>
    </w:p>
    <w:p>
      <w:pPr>
        <w:pStyle w:val="ListParagraph"/>
        <w:numPr>
          <w:ilvl w:val="0"/>
          <w:numId w:val="2"/>
        </w:numPr>
        <w:spacing w:after="80" w:line="276"/>
      </w:pPr>
      <w:r>
        <w:rPr>
          <w:rFonts w:ascii="Calibri" w:cs="Calibri" w:eastAsia="Calibri" w:hAnsi="Calibri"/>
          <w:i/>
          <w:iCs/>
          <w:color w:val="16181D"/>
          <w:sz w:val="22"/>
          <w:szCs w:val="22"/>
        </w:rPr>
        <w:t xml:space="preserve">Ad Stack Technical Specification</w:t>
      </w:r>
      <w:r>
        <w:rPr>
          <w:rFonts w:ascii="Calibri" w:cs="Calibri" w:eastAsia="Calibri" w:hAnsi="Calibri"/>
          <w:color w:val="16181D"/>
          <w:sz w:val="22"/>
          <w:szCs w:val="22"/>
        </w:rPr>
        <w:t xml:space="preserve"> — full architecture of the first-party ad server, AdSense integration, SEO/scale posture, and the day-by-day build sprint.</w:t>
      </w:r>
    </w:p>
    <w:p>
      <w:pPr>
        <w:pStyle w:val="ListParagraph"/>
        <w:numPr>
          <w:ilvl w:val="0"/>
          <w:numId w:val="2"/>
        </w:numPr>
        <w:spacing w:after="80" w:line="276"/>
      </w:pPr>
      <w:r>
        <w:rPr>
          <w:rFonts w:ascii="Calibri" w:cs="Calibri" w:eastAsia="Calibri" w:hAnsi="Calibri"/>
          <w:i/>
          <w:iCs/>
          <w:color w:val="16181D"/>
          <w:sz w:val="22"/>
          <w:szCs w:val="22"/>
        </w:rPr>
        <w:t xml:space="preserve">Pitch deck</w:t>
      </w:r>
      <w:r>
        <w:rPr>
          <w:rFonts w:ascii="Calibri" w:cs="Calibri" w:eastAsia="Calibri" w:hAnsi="Calibri"/>
          <w:color w:val="16181D"/>
          <w:sz w:val="22"/>
          <w:szCs w:val="22"/>
        </w:rPr>
        <w:t xml:space="preserve"> — 16-slide presentation version of this plan for the partner conversation.</w:t>
      </w:r>
    </w:p>
    <w:p>
      <w:pPr>
        <w:pStyle w:val="ListParagraph"/>
        <w:numPr>
          <w:ilvl w:val="0"/>
          <w:numId w:val="2"/>
        </w:numPr>
        <w:spacing w:after="80" w:line="276"/>
      </w:pPr>
      <w:r>
        <w:rPr>
          <w:rFonts w:ascii="Calibri" w:cs="Calibri" w:eastAsia="Calibri" w:hAnsi="Calibri"/>
          <w:i/>
          <w:iCs/>
          <w:color w:val="16181D"/>
          <w:sz w:val="22"/>
          <w:szCs w:val="22"/>
        </w:rPr>
        <w:t xml:space="preserve">Lovable prototype brief</w:t>
      </w:r>
      <w:r>
        <w:rPr>
          <w:rFonts w:ascii="Calibri" w:cs="Calibri" w:eastAsia="Calibri" w:hAnsi="Calibri"/>
          <w:color w:val="16181D"/>
          <w:sz w:val="22"/>
          <w:szCs w:val="22"/>
        </w:rPr>
        <w:t xml:space="preserve"> — the three-option landing-page design prototype specification (Nameplate / Midnight / Ledger).</w:t>
      </w:r>
    </w:p>
    <w:sectPr>
      <w:pgSz w:w="12240" w:h="15840" w:orient="portrait"/>
      <w:pgMar w:top="1200" w:right="1350" w:bottom="120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lvl w:ilvl="1" w15:tentative="1">
      <w:start w:val="1"/>
      <w:numFmt w:val="bullet"/>
      <w:lvlText w:val="–"/>
      <w:lvlJc w:val="left"/>
      <w:pPr>
        <w:ind w:left="72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2026-08-25T17:38:00.836Z</dcterms:created>
  <dcterms:modified xsi:type="dcterms:W3CDTF">2026-08-25T17:38:00.836Z</dcterms:modified>
</cp:coreProperties>
</file>

<file path=docProps/custom.xml><?xml version="1.0" encoding="utf-8"?>
<Properties xmlns="http://schemas.openxmlformats.org/officeDocument/2006/custom-properties" xmlns:vt="http://schemas.openxmlformats.org/officeDocument/2006/docPropsVTypes"/>
</file>